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201 StrlSchG — Anzeigebedürftige Prüfung, Erprobung, Wartung und Instandsetzung von Röntgeneinrichtungen und Störstrahlern (§ 22)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Anzeige der Prüfung, Erprobung, Wartung und Instandsetzung von Röntgeneinrichtungen oder Störstrahlern, die vor dem 31. Dezember 2018 erfolgt ist, gilt als Anzeige nach § 22 Absatz 1 fort.</w:t>
      </w:r>
    </w:p>
    <w:p>
      <w:r>
        <w:rPr>
          <w:color w:val="555555"/>
          <w:sz w:val="17"/>
        </w:rPr>
        <w:t xml:space="preserve">Zitiervorschlag: § 201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https://recht.nulegal.eu/gesetze/StrlSchG/201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