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200 StrlSchG — Anzeigebedürftiger Betrieb von Röntgeneinrichtungen und Störstrahlern (§ 19)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Eine Anzeige des Betriebs einer Röntgeneinrichtung, die vor dem 31. Dezember 2018 erfolgt ist, gilt als Anzeige nach § 19 Absatz 1 Nummer 1 fort. Bei Anzeigen im Zusammenhang mit der Anwendung am Menschen zur Untersuchung mit Röntgenstrahlung, die mit einer erheblichen Exposition der untersuchten Person verbunden sein kann, sind die jeweils einschlägigen Voraussetzungen nach § 19 Absatz 3 Satz 1 Nummer 6 in Verbindung mit § 14 Absatz 1 Nummer 2 Buchstabe b und Nummer 4 bis zum 31. Dezember 2022 bei der zuständigen Behörde nachzuweisen.</w:t>
      </w:r>
    </w:p>
    <w:p>
      <w:r>
        <w:t xml:space="preserve">(2) Eine Anzeige des Betriebs eines Basis-, Hoch- oder Vollschutzgerätes oder einer Schulröntgeneinrichtung, die vor dem 31. Dezember 2018 erfolgt ist, gilt als Anzeige nach § 19 Absatz 1 Nummer 2 fort.</w:t>
      </w:r>
    </w:p>
    <w:p>
      <w:r>
        <w:rPr>
          <w:color w:val="555555"/>
          <w:sz w:val="17"/>
        </w:rPr>
        <w:t xml:space="preserve">Zitiervorschlag: § 200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