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197 StrlSchG — Genehmigungsbedürftige Tätigkeiten (§ 12)</w:t>
      </w:r>
    </w:p>
    <w:p>
      <w:r>
        <w:rPr>
          <w:color w:val="555555"/>
          <w:sz w:val="18"/>
        </w:rPr>
        <w:t xml:space="preserve">Strahlenschutzgesetz</w:t>
      </w:r>
    </w:p>
    <w:p>
      <w:r>
        <w:rPr>
          <w:color w:val="555555"/>
          <w:sz w:val="18"/>
        </w:rPr>
        <w:t xml:space="preserve">Stand: 10.06.2019 (konsolidierte Textfassung, kein amtliches Inkrafttretensdatum)</w:t>
      </w:r>
    </w:p>
    <w:p>
      <w:r>
        <w:t xml:space="preserve">(1) Eine Genehmigung für den Betrieb von Anlagen zur Erzeugung ionisierender Strahlen, die vor dem 31. Dezember 2018 erteilt worden ist, gilt als Genehmigung nach § 12 Absatz 1 Nummer 1 mit allen Nebenbestimmungen fort. Dies gilt für Genehmigungen im Zusammenhang mit der Anwendung am Menschen für eine Behandlung mit ionisierender Strahlung, der ein individueller Bestrahlungsplan zugrunde liegt, wenn bis zum 31. Dezember 2020 bei der zuständigen Behörde nachgewiesen ist, dass die Voraussetzungen nach § 14 Absatz 1 Nummer 2 Buchstabe a, Nummer 3 Buchstabe a und Nummer 4 erfüllt sind.</w:t>
      </w:r>
    </w:p>
    <w:p>
      <w:r>
        <w:t xml:space="preserve">(2) Eine Genehmigung für den Umgang mit sonstigen radioaktiven Stoffen, die vor dem 31. Dezember 2018 erteilt worden ist, gilt als Genehmigung nach § 12 Absatz 1 Nummer 3 mit allen Nebenbestimmungen fort. Dies gilt für Genehmigungen</w:t>
      </w:r>
    </w:p>
    <w:p>
      <w:pPr>
        <w:ind w:left="420"/>
      </w:pPr>
      <w:r>
        <w:t xml:space="preserve">1. für den Umgang mit hochradioaktiven Strahlenquellen nur, wenn bis zum 31. Dezember 2020 nachgewiesen ist, dass die Voraussetzung des § 13 Absatz 4 erfüllt ist,</w:t>
      </w:r>
    </w:p>
    <w:p>
      <w:pPr>
        <w:ind w:left="420"/>
      </w:pPr>
      <w:r>
        <w:t xml:space="preserve">2. im Zusammenhang mit der Anwendung am Menschen für eine Behandlung mit radioaktiven Stoffen und ionisierender Strahlung, der jeweils ein individueller Bestrahlungsplan zugrunde liegt, wenn bis zum 31. Dezember 2020 bei der zuständigen Behörde nachgewiesen ist, dass die Voraussetzungen nach § 14 Absatz 1 Nummer 2 Buchstabe a, Nummer 3 Buchstabe a und Nummer 4 erfüllt sind,</w:t>
      </w:r>
    </w:p>
    <w:p>
      <w:pPr>
        <w:ind w:left="420"/>
      </w:pPr>
      <w:r>
        <w:t xml:space="preserve">3. im Zusammenhang mit der Anwendung am Menschen für eine standardisierte Behandlung mit radioaktiven Stoffen sowie zur Untersuchung mit radioaktiven Stoffen, die mit einer erheblichen Exposition der untersuchten Person verbunden sein kann, wenn bis zum 31. Dezember 2022 bei der zuständigen Behörde nachgewiesen ist, dass die Voraussetzungen nach § 14 Absatz 1 Nummer 2 Buchstabe b, Nummer 3 Buchstabe b und Nummer 4 erfüllt sind.</w:t>
      </w:r>
    </w:p>
    <w:p>
      <w:r>
        <w:t xml:space="preserve">Die zuständige Behörde kann von dem Inhaber einer Genehmigung nach Satz 1 innerhalb von zwei Jahren nach Inkrafttreten dieses Gesetzes die Erbringung einer Sicherheitsleistung gemäß § 13 Absatz 7 verlangen.</w:t>
      </w:r>
    </w:p>
    <w:p>
      <w:r>
        <w:t xml:space="preserve">(3) Hat sich eine Genehmigung nach den §§ 6, 7 oder § 9 des Atomgesetzes oder ein Planfeststellungsbeschluss nach § 9b des Atomgesetzes, die oder der vor dem 31. Dezember 2018 erteilt worden ist, auf einen genehmigungsbedürftigen Umgang mit radioaktiven Stoffen erstreckt, so gilt diese Erstreckung als Erstreckung auf einen genehmigungsbedürftigen Umgang nach § 12 Absatz 1 Nummer 3 dieses Gesetzes fort.</w:t>
      </w:r>
    </w:p>
    <w:p>
      <w:r>
        <w:t xml:space="preserve">(4) Tätigkeiten nach § 4 Absatz 1 Satz 1 Nummer 1, die vor dem 31. Dezember 2018 genehmigungsfrei ausgeübt wurden und ab dem 31. Dezember 2018 einer Genehmigung nach § 12 Absatz 1 Nummer 3 bedürfen, dürfen fortgesetzt werden, wenn der Antrag auf Genehmigung bis zum 31. Dezember 2019 gestellt wurde.</w:t>
      </w:r>
    </w:p>
    <w:p>
      <w:r>
        <w:rPr>
          <w:color w:val="555555"/>
          <w:sz w:val="17"/>
        </w:rPr>
        <w:t xml:space="preserve">Zitiervorschlag: § 197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