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StrlSchG — Geschäftsbereich des Bundesministeriums der Verteidigung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Abweichend von § 189 sind bei dem Betrieb von Luftfahrzeugen, die im Geschäftsbereich des Bundesministeriums der Verteidigung betrieben werden, dieses Bundesministerium oder die von ihm bezeichneten Dienststellen für die Aufgaben nach § 189 Nummer 1 und 3 zuständig.</w:t>
      </w:r>
    </w:p>
    <w:p>
      <w:r>
        <w:t xml:space="preserve">(2) Für den Geschäftsbereich des Bundesministeriums der Verteidigung werden die in § 184 bezeichneten Zuständigkeiten von diesem Bundesministerium oder den von ihm bezeichneten Dienststellen wahrgenommen. Im Falle des § 184 Absatz 2 erfolgt dies im Benehmen mit dem Bundesministerium für Umwelt, Naturschutz und nukleare Sicherheit. Die Sätze 1 und 2 gelten auch für zivile Arbeitskräfte bei sich auf Grund völkerrechtlicher Verträge in der Bundesrepublik Deutschland aufhaltenden Truppen und zivilen Gefolgen.</w:t>
      </w:r>
    </w:p>
    <w:p>
      <w:r>
        <w:rPr>
          <w:color w:val="555555"/>
          <w:sz w:val="17"/>
        </w:rPr>
        <w:t xml:space="preserve">Zitiervorschlag: § 191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