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190a StrlSchG — Zuständigkeit des Bundesinstituts für Arzneimittel und Medizinprodukte und des Paul-Ehrlich-Instituts</w:t>
      </w:r>
    </w:p>
    <w:p>
      <w:r>
        <w:rPr>
          <w:color w:val="555555"/>
          <w:sz w:val="18"/>
        </w:rPr>
        <w:t xml:space="preserve">Strahlenschutzgesetz</w:t>
      </w:r>
    </w:p>
    <w:p>
      <w:r>
        <w:rPr>
          <w:color w:val="555555"/>
          <w:sz w:val="18"/>
        </w:rPr>
        <w:t xml:space="preserve">Stand: 01.07.2025 (konsolidierte Textfassung, kein amtliches Inkrafttretensdatum)</w:t>
      </w:r>
    </w:p>
    <w:p>
      <w:r>
        <w:t xml:space="preserve">(1) Das Bundesinstitut für Arzneimittel und Medizinprodukte ist zuständig für die Prüfung der Anzeige der Anwendung radioaktiver Stoffe oder ionisierender Strahlung am Menschen zum Zweck der medizinischen Forschung sowie für die Untersagung oder eingeschränkte Zulassung der Anwendung.</w:t>
      </w:r>
    </w:p>
    <w:p>
      <w:r>
        <w:t xml:space="preserve">(2) Für die in Absatz 1 genannten Aufgaben ist abweichend von Absatz 1 das Paul-Ehrlich-Institut zuständig, sofern die Anwendung radioaktiver Stoffe oder ionisierender Strahlung im Rahmen einer klinischen Prüfung im Sinne des § 4 Absatz 23 des Arzneimittelgesetzes durchgeführt werden soll, für deren Genehmigung das Paul-Ehrlich-Institut nach § 77 Absatz 2 des Arzneimittelgesetzes, auch in Verbindung mit einer Rechtsverordnung nach § 77 Absatz 4 des Arzneimittelgesetzes, zuständig ist.</w:t>
      </w:r>
    </w:p>
    <w:p>
      <w:r>
        <w:t xml:space="preserve">(3) Die Rechts- und Fachaufsicht über das Bundesinstitut für Arzneimittel und Medizinprodukte und das Paul-Ehrlich-Institut bei der Wahrnehmung ihrer Aufgaben nach diesem Gesetz obliegt dem Bundesministerium für Umwelt, Naturschutz, nukleare Sicherheit und Verbraucherschutz. Soweit durch die Ausübung der Rechts- und Fachaufsicht wissenschaftliche Belange dieser Behörden oder ihre strategische Ausrichtung berührt werden, ist ein Einvernehmen mit dem Bundesministerium für Gesundheit herzustellen.</w:t>
      </w:r>
    </w:p>
    <w:p>
      <w:r>
        <w:rPr>
          <w:color w:val="555555"/>
          <w:sz w:val="17"/>
        </w:rPr>
        <w:t xml:space="preserve">Zitiervorschlag: § 190a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https://recht.nulegal.eu/gesetze/StrlSchG/190a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