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189 StrlSchG — Zuständigkeit des Luftfahrt-Bundesamtes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Luftfahrt-Bundesamt ist zuständig für</w:t>
      </w:r>
    </w:p>
    <w:p>
      <w:pPr>
        <w:ind w:left="420"/>
      </w:pPr>
      <w:r>
        <w:t xml:space="preserve">1. die Prüfung der Anzeige des Betriebs von Luftfahrzeugen sowie die Untersagung des Betriebs,</w:t>
      </w:r>
    </w:p>
    <w:p>
      <w:pPr>
        <w:ind w:left="420"/>
      </w:pPr>
      <w:r>
        <w:t xml:space="preserve">2. die Anerkennung von Rechenprogrammen zur Ermittlung der Körperdosis des fliegenden Personals,</w:t>
      </w:r>
    </w:p>
    <w:p>
      <w:pPr>
        <w:ind w:left="420"/>
      </w:pPr>
      <w:r>
        <w:t xml:space="preserve">3. die Überwachung der Einhaltung der Anforderungen zum Schutz vor Expositionen von Personen durch kosmische Strahlung beim Betrieb von Luftfahrzeugen nach diesem Gesetz oder einer auf Grund dieses Gesetzes erlassenen Rechtsverordnung,</w:t>
      </w:r>
    </w:p>
    <w:p>
      <w:pPr>
        <w:ind w:left="420"/>
      </w:pPr>
      <w:r>
        <w:t xml:space="preserve">4. die Bescheinigung der Fachkunde im Strahlenschutz, soweit sie im Zusammenhang mit dem Betrieb von Luftfahrzeugen erforderlich ist, und</w:t>
      </w:r>
    </w:p>
    <w:p>
      <w:pPr>
        <w:ind w:left="420"/>
      </w:pPr>
      <w:r>
        <w:t xml:space="preserve">5. die Anerkennung von Kursen, soweit sie dem Erwerb der erforderlichen Fachkunde im Strahlenschutz im Zusammenhang mit dem Betrieb von Luftfahrzeugen dienen.</w:t>
      </w:r>
    </w:p>
    <w:p>
      <w:r>
        <w:rPr>
          <w:color w:val="555555"/>
          <w:sz w:val="17"/>
        </w:rPr>
        <w:t xml:space="preserve">Zitiervorschlag: § 189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