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188 StrlSchG — Zuständigkeiten für grenzüberschreitende Verbringungen und deren Überwachung</w:t>
      </w:r>
    </w:p>
    <w:p>
      <w:r>
        <w:rPr>
          <w:color w:val="555555"/>
          <w:sz w:val="18"/>
        </w:rPr>
        <w:t xml:space="preserve">Strahlenschutzgesetz</w:t>
      </w:r>
    </w:p>
    <w:p>
      <w:r>
        <w:rPr>
          <w:color w:val="555555"/>
          <w:sz w:val="18"/>
        </w:rPr>
        <w:t xml:space="preserve">Stand: 05.06.2021 (konsolidierte Textfassung, kein amtliches Inkrafttretensdatum)</w:t>
      </w:r>
    </w:p>
    <w:p>
      <w:r>
        <w:t xml:space="preserve">(1) Das Bundesamt für Wirtschaft und Ausfuhrkontrolle ist zuständig für die Erteilung einer Genehmigung für die grenzüberschreitende Verbringung von Konsumgütern sowie für ihre Rücknahme und den Widerruf. Das Gleiche gilt, soweit die Rechtsverordnungen nach § 24 Satz 1 Nummer 7 und § 30 das Erfordernis von Genehmigungen und Zustimmungen sowie die Prüfung von Anzeigen oder Anmeldungen für grenzüberschreitende Verbringungen vorsehen.</w:t>
      </w:r>
    </w:p>
    <w:p>
      <w:r>
        <w:t xml:space="preserve">(2) Die Zollbehörden wirken bei der Überwachung von grenzüberschreitenden Verbringungen radioaktiver Stoffe, von Konsumgütern oder Produkten nach § 39 Absatz 1 Satz 1 Nummer 1 bis 10, denen radioaktive Stoffe zugesetzt oder die aktiviert worden sind, sowie von Rückständen mit. Die Zollbehörden können</w:t>
      </w:r>
    </w:p>
    <w:p>
      <w:pPr>
        <w:ind w:left="420"/>
      </w:pPr>
      <w:r>
        <w:t xml:space="preserve">1. grenzüberschreitend verbrachte Sendungen, die radioaktive Stoffe, Rückstände oder die in Satz 1 genannten Konsumgüter oder Produkte enthalten, sowie deren Beförderungsmittel, Behälter, Lademittel und Verpackungsmittel zur Überwachung anhalten,</w:t>
      </w:r>
    </w:p>
    <w:p>
      <w:pPr>
        <w:ind w:left="420"/>
      </w:pPr>
      <w:r>
        <w:t xml:space="preserve">2. einen auf Grund tatsächlicher Anhaltspunkte bestehenden Verdacht von Verstößen gegen Verbote und Beschränkungen nach diesem Gesetz oder den auf Grund von § 24 Satz 1 Nummer 7 und § 30 ergehenden Rechtsverordnungen, der sich bei der Wahrnehmung ihrer Aufgaben ergibt, den zuständigen Behörden mitteilen und</w:t>
      </w:r>
    </w:p>
    <w:p>
      <w:pPr>
        <w:ind w:left="420"/>
      </w:pPr>
      <w:r>
        <w:t xml:space="preserve">3. in den Fällen der Nummer 2 anordnen, dass Sendungen nach Nummer 1 auf Kosten und Gefahr des Verfügungsberechtigten den zuständigen Behörden vorgeführt werden.</w:t>
      </w:r>
    </w:p>
    <w:p>
      <w:r>
        <w:t xml:space="preserve">Das Brief- und Postgeheimnis nach Artikel 10 des Grundgesetzes wird nach Maßgabe der Sätze 1 und 2 eingeschränkt.</w:t>
      </w:r>
    </w:p>
    <w:p>
      <w:r>
        <w:t xml:space="preserve">(3) Absatz 2 gilt vorbehaltlich anderweitiger Bestimmungen in nationalen oder europäischen Rechtsvorschriften entsprechend für die grenzüberschreitende Verbringung von Stoffen, bei denen zu besorgen ist, dass deren Aktivität oder spezifische Aktivität die nach einer Rechtsverordnung nach § 24 Satz 1 Nummer 10 festgelegten Werte überschreitet.</w:t>
      </w:r>
    </w:p>
    <w:p>
      <w:r>
        <w:t xml:space="preserve">(4) Soweit das Bundesamt für Wirtschaft und Ausfuhrkontrolle auf Grund des Absatzes 1 entscheidet, ist es unbeschadet seiner Unterstellung unter das Bundesministerium für Wirtschaft und Energie und dessen auf anderen Rechtsvorschriften beruhenden Weisungsbefugnissen an die fachlichen Weisungen des Bundesministeriums für Umwelt, Naturschutz und nukleare Sicherheit gebunden.</w:t>
      </w:r>
    </w:p>
    <w:p>
      <w:r>
        <w:rPr>
          <w:color w:val="555555"/>
          <w:sz w:val="17"/>
        </w:rPr>
        <w:t xml:space="preserve">Zitiervorschlag: § 188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