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187 StrlSchG — Zuständigkeit der Physikalisch-Technischen Bundesanstalt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05.06.2021 (konsolidierte Textfassung, kein amtliches Inkrafttretensdatum)</w:t>
      </w:r>
    </w:p>
    <w:p>
      <w:r>
        <w:t xml:space="preserve">(1) Die Physikalisch-Technische Bundesanstalt ist zuständig für</w:t>
      </w:r>
    </w:p>
    <w:p>
      <w:pPr>
        <w:ind w:left="420"/>
      </w:pPr>
      <w:r>
        <w:t xml:space="preserve">1. die Bauartzulassung von Störstrahlern nach § 45 Absatz 1 Nummer 1 und die Bauartzulassung nach § 45 Absatz 1 Nummer 2 bis 6,</w:t>
      </w:r>
    </w:p>
    <w:p>
      <w:pPr>
        <w:ind w:left="420"/>
      </w:pPr>
      <w:r>
        <w:t xml:space="preserve">2. die Durchführung von Maßnahmen zur Qualitätssicherung von Messstellen für die externe Exposition nach Maßgabe der Rechtsverordnung nach § 169 Absatz 4 und</w:t>
      </w:r>
    </w:p>
    <w:p>
      <w:pPr>
        <w:ind w:left="420"/>
      </w:pPr>
      <w:r>
        <w:t xml:space="preserve">3. die Bereitstellung von Radioaktivitätsstandards für Vergleichsmessungen nach Maßgabe der Rechtsverordnung nach § 81 Satz 3.</w:t>
      </w:r>
    </w:p>
    <w:p>
      <w:r>
        <w:t xml:space="preserve">(2) Die Rechts- und Fachaufsicht über die Physikalisch-Technische Bundesanstalt für die Aufgaben nach diesem Gesetz obliegt dem Bundesministerium für Umwelt, Naturschutz und nukleare Sicherheit. Soweit dadurch technisch-wissenschaftliche Belange der Bundesanstalt, ihre strategische Ausrichtung oder sonstige Rahmenbedingungen berührt werden, ist ein Einvernehmen mit dem Bundesministerium für Wirtschaft und Energie herzustellen.</w:t>
      </w:r>
    </w:p>
    <w:p>
      <w:r>
        <w:rPr>
          <w:color w:val="555555"/>
          <w:sz w:val="17"/>
        </w:rPr>
        <w:t xml:space="preserve">Zitiervorschlag: § 187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https://recht.nulegal.eu/gesetze/StrlSchG/187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