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184a StrlSchG — Zuständigkeit der Ethik-Kommission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Aufgaben der Ethik-Kommission nach diesem Gesetz nehmen folgende Ethik-Kommissionen wahr:</w:t>
      </w:r>
    </w:p>
    <w:p>
      <w:pPr>
        <w:ind w:left="420"/>
      </w:pPr>
      <w:r>
        <w:t xml:space="preserve">1. die für die klinische Prüfung im Sinne des § 4 Absatz 23 des Arzneimittelgesetzes zuständige Ethik-Kommission, sofern die Anwendung im Rahmen einer klinischen Prüfung im Sinne des § 4 Absatz 23 des Arzneimittelgesetzes erfolgen soll,</w:t>
      </w:r>
    </w:p>
    <w:p>
      <w:pPr>
        <w:ind w:left="420"/>
      </w:pPr>
      <w:r>
        <w:t xml:space="preserve">2. die für die klinische Prüfung im Sinne des Artikels 2 Nummer 45 der Verordnung (EU) 2017/745 oder für die Prüfung einer sonstigen klinischen Prüfung im Sinne von § 3 Nummer 4 des Medizinprodukterecht-Durchführungsgesetzes zuständige Ethik-Kommission, sofern die Anwendung im Rahmen einer solchen klinischen Prüfung oder sonstigen klinischen Prüfung erfolgen soll,</w:t>
      </w:r>
    </w:p>
    <w:p>
      <w:pPr>
        <w:ind w:left="420"/>
      </w:pPr>
      <w:r>
        <w:t xml:space="preserve">3. im Übrigen die nach Landesrecht zuständige Ethik-Kommission.</w:t>
      </w:r>
    </w:p>
    <w:p>
      <w:r>
        <w:rPr>
          <w:color w:val="555555"/>
          <w:sz w:val="17"/>
        </w:rPr>
        <w:t xml:space="preserve">Zitiervorschlag: § 184a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https://recht.nulegal.eu/gesetze/StrlSchG/184a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