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183 StrlSchG — Kosten; Verordnungsermächtigung</w:t>
      </w:r>
    </w:p>
    <w:p>
      <w:r>
        <w:rPr>
          <w:color w:val="555555"/>
          <w:sz w:val="18"/>
        </w:rPr>
        <w:t xml:space="preserve">Strahlenschutzgesetz</w:t>
      </w:r>
    </w:p>
    <w:p>
      <w:r>
        <w:rPr>
          <w:color w:val="555555"/>
          <w:sz w:val="18"/>
        </w:rPr>
        <w:t xml:space="preserve">Stand: 01.07.2025 (konsolidierte Textfassung, kein amtliches Inkrafttretensdatum)</w:t>
      </w:r>
    </w:p>
    <w:p>
      <w:r>
        <w:t xml:space="preserve">(1) Gebühren und Auslagen (Kosten) werden erhoben</w:t>
      </w:r>
    </w:p>
    <w:p>
      <w:pPr>
        <w:ind w:left="420"/>
      </w:pPr>
      <w:r>
        <w:t xml:space="preserve">1. für Festsetzungen nach § 177 in Verbindung mit § 13 Absatz 1 Satz 2 des Atomgesetzes,</w:t>
      </w:r>
    </w:p>
    <w:p>
      <w:pPr>
        <w:ind w:left="420"/>
      </w:pPr>
      <w:r>
        <w:t xml:space="preserve">2. für Entscheidungen nach § 179 Absatz 1 Nummer 1 in Verbindung mit § 17 Absatz 1 Satz 3, Absatz 2 bis 5 des Atomgesetzes und für Entscheidungen nach § 179 Absatz 1 Nummer 2 in Verbindung mit § 19 Absatz 3 des Atomgesetzes,</w:t>
      </w:r>
    </w:p>
    <w:p>
      <w:pPr>
        <w:ind w:left="420"/>
      </w:pPr>
      <w:r>
        <w:t xml:space="preserve">3. für die in der Kostenverordnung zum Atomgesetz und zum Strahlenschutzgesetz näher bestimmten sonstigen Aufsichtsmaßnahmen nach § 179 Absatz 1 Nummer 2 in Verbindung mit § 19 des Atomgesetzes,</w:t>
      </w:r>
    </w:p>
    <w:p>
      <w:pPr>
        <w:ind w:left="420"/>
      </w:pPr>
      <w:r>
        <w:t xml:space="preserve">4. für sonstige Amtshandlungen einschließlich Prüfungen und Untersuchungen des Bundesamtes für Strahlenschutz, soweit es nach § 185 Absatz 1 Nummer 1, 3 bis 6 und 8 zuständig ist,</w:t>
      </w:r>
    </w:p>
    <w:p>
      <w:pPr>
        <w:ind w:left="420"/>
      </w:pPr>
      <w:r>
        <w:t xml:space="preserve">4a. für wissenschaftliche Beratungen des Bundesamts für Strahlenschutz im Vorfeld der Stellung eines Antrags auf Genehmigung von Anwendungen radioaktiver Stoffe oder ionisierender Strahlung am Menschen zum Zweck der medizinischen Forschung,</w:t>
      </w:r>
    </w:p>
    <w:p>
      <w:pPr>
        <w:ind w:left="420"/>
      </w:pPr>
      <w:r>
        <w:t xml:space="preserve">4b. für Amtshandlungen einschließlich Prüfungen und Untersuchungen des Bundesinstituts für Arzneimittel und Medizinprodukte und des Paul-Ehrlich-Instituts, soweit diese nach § 190a zuständig sind,</w:t>
      </w:r>
    </w:p>
    <w:p>
      <w:pPr>
        <w:ind w:left="420"/>
      </w:pPr>
      <w:r>
        <w:t xml:space="preserve">4c. für die Erstellung der Stellungnahme der zuständigen Ethik-Kommission nach § 36,</w:t>
      </w:r>
    </w:p>
    <w:p>
      <w:pPr>
        <w:ind w:left="420"/>
      </w:pPr>
      <w:r>
        <w:t xml:space="preserve">5. für Entscheidungen des Bundesamtes für die Sicherheit der nuklearen Entsorgung über Anträge nach § 27 Absatz 1, soweit es nach § 186 Absatz 1 zuständig ist,</w:t>
      </w:r>
    </w:p>
    <w:p>
      <w:pPr>
        <w:ind w:left="420"/>
      </w:pPr>
      <w:r>
        <w:t xml:space="preserve">6. für sonstige Amtshandlungen einschließlich Prüfungen und Untersuchungen des Luftfahrt-Bundesamtes, soweit es nach § 189 zuständig ist,</w:t>
      </w:r>
    </w:p>
    <w:p>
      <w:pPr>
        <w:ind w:left="420"/>
      </w:pPr>
      <w:r>
        <w:t xml:space="preserve">7. für folgende Leistungen der Physikalisch-Technischen Bundesanstalt:</w:t>
      </w:r>
    </w:p>
    <w:p>
      <w:pPr>
        <w:ind w:left="780"/>
      </w:pPr>
      <w:r>
        <w:t xml:space="preserve">a) Amtshandlungen einschließlich Prüfungen und Untersuchungen nach § 187 Absatz 1 Nummer 1 oder 2,</w:t>
      </w:r>
    </w:p>
    <w:p>
      <w:pPr>
        <w:ind w:left="780"/>
      </w:pPr>
      <w:r>
        <w:t xml:space="preserve">b) die Bereitstellung von Radioaktivitätsstandards nach § 187 Absatz 1 Nummer 3 für Vergleichsmessungen des Bundesamtes für Strahlenschutz, an denen der Strahlenschutzverantwortliche zur Sicherung der Qualität der von ihm nach Maßgabe der Rechtsverordnung nach § 81 Satz 2 Nummer 7 durchzuführenden Emissionsmessungen teilzunehmen hat,</w:t>
      </w:r>
    </w:p>
    <w:p>
      <w:pPr>
        <w:ind w:left="420"/>
      </w:pPr>
      <w:r>
        <w:t xml:space="preserve">8. für Entscheidungen des Eisenbahn-Bundesamtes über Anträge nach § 27 Absatz 1, soweit es nach § 190 Satz 1 zuständig ist.</w:t>
      </w:r>
    </w:p>
    <w:p>
      <w:r>
        <w:t xml:space="preserve">(2) In den Rechtsverordnungen nach den §§ 81 und 185 Absatz 2 Nummer 5 und 6 können auch Regelungen zur Kostenerhebung für Amtshandlungen der danach zuständigen Behörden getroffen werden.</w:t>
      </w:r>
    </w:p>
    <w:p>
      <w:r>
        <w:t xml:space="preserve">(3) Kosten werden erhoben in den Fällen</w:t>
      </w:r>
    </w:p>
    <w:p>
      <w:pPr>
        <w:ind w:left="420"/>
      </w:pPr>
      <w:r>
        <w:t xml:space="preserve">1. des Widerrufs oder der Rücknahme einer Amtshandlung nach Absatz 1 oder 2, sofern der Betroffene dies zu vertreten hat und nicht bereits nach Absatz 1 oder 2 Kosten erhoben werden,</w:t>
      </w:r>
    </w:p>
    <w:p>
      <w:pPr>
        <w:ind w:left="420"/>
      </w:pPr>
      <w:r>
        <w:t xml:space="preserve">2. der Ablehnung eines Antrags auf Vornahme einer Amtshandlung nach Absatz 1 oder 2 aus anderen Gründen als wegen Unzuständigkeit der Behörde,</w:t>
      </w:r>
    </w:p>
    <w:p>
      <w:pPr>
        <w:ind w:left="420"/>
      </w:pPr>
      <w:r>
        <w:t xml:space="preserve">3. der Zurücknahme eines Antrags auf Vornahme einer Amtshandlung oder einer Anzeige nach Absatz 1 oder 2 nach Beginn der sachlichen Bearbeitung, jedoch vor deren Beendigung,</w:t>
      </w:r>
    </w:p>
    <w:p>
      <w:pPr>
        <w:ind w:left="420"/>
      </w:pPr>
      <w:r>
        <w:t xml:space="preserve">4. der vollständigen oder teilweisen Zurückweisung oder der Zurücknahme eines Widerspruchs gegen</w:t>
      </w:r>
    </w:p>
    <w:p>
      <w:pPr>
        <w:ind w:left="780"/>
      </w:pPr>
      <w:r>
        <w:t xml:space="preserve">a) eine Amtshandlung nach Absatz 1 oder 2 oder</w:t>
      </w:r>
    </w:p>
    <w:p>
      <w:pPr>
        <w:ind w:left="780"/>
      </w:pPr>
      <w:r>
        <w:t xml:space="preserve">b) eine nach Absatz 1 oder 2 in Verbindung mit der Kostenverordnung zum Atomgesetz und zum Strahlenschutzgesetz festgesetzte Kostenentscheidung.</w:t>
      </w:r>
    </w:p>
    <w:p>
      <w:r>
        <w:t xml:space="preserve">Die Gebühr darf in den Fällen des Satzes 1 Nummer 1, 2 und 4 Buchstabe a bis zur Höhe der für eine Amtshandlung festzusetzenden Gebühr, in den Fällen des Satzes 1 Nummer 3 bis zur Höhe von drei Vierteln der für die Amtshandlung festzusetzenden Gebühr und in den Fällen des Satzes 1 Nummer 4 Buchstabe b bis zur Höhe von 10 Prozent des streitigen Betrags festgesetzt werden.</w:t>
      </w:r>
    </w:p>
    <w:p>
      <w:r>
        <w:t xml:space="preserve">(4) Die Bundesregierung wird ermächtigt, das Nähere durch Rechtsverordnung mit Zustimmung des Bundesrates nach den Grundsätzen des Verwaltungskostengesetzes in der bis zum 14. August 2013 geltenden Fassung zu regeln. Dabei sind die gebührenpflichtigen Tatbestände näher zu bestimmen und die Gebühren durch feste Sätze, Rahmensätze oder nach dem Wert des Gegenstandes zu bestimmen. Die Gebührensätze sind so zu bemessen, dass der mit den Amtshandlungen, Prüfungen oder Untersuchungen verbundene Personal- und Sachaufwand gedeckt wird; bei begünstigenden Amtshandlungen kann daneben die Bedeutung, der wirtschaftliche Wert oder der sonstige Nutzen für den Gebührenschuldner angemessen berücksichtigt werden. In der Verordnung können die Kostenbefreiung des Bundesamtes für Strahlenschutz und die Verpflichtung zur Zahlung von Gebühren für die Amtshandlungen bestimmter Behörden abweichend von § 8 des Verwaltungskostengesetzes in der bis zum 14. August 2013 geltenden Fassung geregelt werden. Die Verjährungsfrist der Kostenschuld kann abweichend von § 20 des Verwaltungskostengesetzes in der bis zum 14. August 2013 geltenden Fassung verlängert werden. Es kann bestimmt werden, dass die Verordnung auch auf die bei ihrem Inkrafttreten anhängigen Verwaltungsverfahren anzuwenden ist, soweit in diesem Zeitpunkt die Kosten nicht bereits festgesetzt sind.</w:t>
      </w:r>
    </w:p>
    <w:p>
      <w:r>
        <w:t xml:space="preserve">(5) Für die Erhebung von Kosten nach diesem Gesetz oder der auf dieses Gesetz gestützten Rechtsverordnungen sind § 21 Absatz 2 des Atomgesetzes und die Kostenverordnung zum Atomgesetz und zum Strahlenschutzgesetz anzuwenden; § 21 Absatz 4 und 5 des Atomgesetzes ist entsprechend anzuwenden.</w:t>
      </w:r>
    </w:p>
    <w:p>
      <w:r>
        <w:rPr>
          <w:color w:val="555555"/>
          <w:sz w:val="17"/>
        </w:rPr>
        <w:t xml:space="preserve">Zitiervorschlag: § 183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