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182 StrlSchG — Schriftform, elektronische Kommunikation</w:t>
      </w:r>
    </w:p>
    <w:p>
      <w:r>
        <w:rPr>
          <w:color w:val="555555"/>
          <w:sz w:val="18"/>
        </w:rPr>
        <w:t xml:space="preserve">Strahlenschutzgesetz</w:t>
      </w:r>
    </w:p>
    <w:p>
      <w:r>
        <w:rPr>
          <w:color w:val="555555"/>
          <w:sz w:val="18"/>
        </w:rPr>
        <w:t xml:space="preserve">Stand: 02.12.2019 (konsolidierte Textfassung, kein amtliches Inkrafttretensdatum)</w:t>
      </w:r>
    </w:p>
    <w:p>
      <w:r>
        <w:t xml:space="preserve">(1) Genehmigungen und Bauartzulassungen nach diesem Gesetz oder nach einer auf dieses Gesetz gestützten Rechtsverordnung sind schriftlich zu erteilen.</w:t>
      </w:r>
    </w:p>
    <w:p>
      <w:r>
        <w:t xml:space="preserve">(2) Wird für einen Verwaltungsakt, für den in diesem Gesetz oder in einer auf diesem Gesetz gestützten Rechtsverordnung die Schriftform angeordnet ist, die elektronische Form verwendet, so ist er mit einer dauerhaft überprüfbaren qualifizierten elektronischen Signatur nach § 37 Absatz 4 des Verwaltungsverfahrensgesetzes zu versehen.</w:t>
      </w:r>
    </w:p>
    <w:p>
      <w:r>
        <w:t xml:space="preserve">(3) Anzeige- und Anmeldungspflichten sowie Melde- und Mitteilungspflichten nach diesem Gesetz oder nach einer auf dieses Gesetz gestützten Rechtsverordnung können in elektronischer Form erfüllt werden, wenn der Empfänger hierfür einen Zugang eröffnet und das Verfahren und die für die Datenübertragung notwendigen Anforderungen bestimmt. Dabei müssen dem jeweiligen Stand der Technik entsprechende Maßnahmen zur Sicherstellung von Datenschutz und Datensicherheit getroffen werden, die insbesondere die Vertraulichkeit und Unversehrtheit der Daten gewährleisten; bei der Nutzung allgemein zugänglicher Netze sind Verschlüsselungsverfahren anzuwenden. Soweit es sich um personenbezogene Daten handelt, richten sich die Maßnahmen nach den Artikeln 24, 25 und 32 der Verordnung (EU) 2016/679. Ist ein übermitteltes elektronisches Dokument für den Empfänger nicht zur Bearbeitung geeignet, teilt er dies dem Absender unter Angabe der für den Empfang geltenden technischen Rahmenbedingungen unverzüglich mit.</w:t>
      </w:r>
    </w:p>
    <w:p>
      <w:r>
        <w:t xml:space="preserve">(4) Wenn die Antragstellung, die Anzeige, die Anmeldung, die Meldung oder die Mitteilung elektronisch erfolgt, sind der zuständigen Behörde auf Verlangen Papierausfertigungen der elektronisch übermittelten Unterlagen zu übermitteln.</w:t>
      </w:r>
    </w:p>
    <w:p>
      <w:r>
        <w:rPr>
          <w:color w:val="555555"/>
          <w:sz w:val="17"/>
        </w:rPr>
        <w:t xml:space="preserve">Zitiervorschlag: § 182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