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179 StrlSchG — Anwendung des Atomgesetzes; Anordnungsbefugnis</w:t>
      </w:r>
    </w:p>
    <w:p>
      <w:r>
        <w:rPr>
          <w:color w:val="555555"/>
          <w:sz w:val="18"/>
        </w:rPr>
        <w:t xml:space="preserve">Strahlenschutzgesetz</w:t>
      </w:r>
    </w:p>
    <w:p>
      <w:r>
        <w:rPr>
          <w:color w:val="555555"/>
          <w:sz w:val="18"/>
        </w:rPr>
        <w:t xml:space="preserve">Stand: 01.07.2025 (konsolidierte Textfassung, kein amtliches Inkrafttretensdatum)</w:t>
      </w:r>
    </w:p>
    <w:p>
      <w:r>
        <w:t xml:space="preserve">(1) Im Anwendungsbereich dieses Gesetzes und der auf dieses Gesetz gestützten Rechtsverordnungen sind in der jeweils geltenden Fassung entsprechend anzuwenden:</w:t>
      </w:r>
    </w:p>
    <w:p>
      <w:pPr>
        <w:ind w:left="420"/>
      </w:pPr>
      <w:r>
        <w:t xml:space="preserve">1. für Genehmigungen und Bauartzulassungen sowie für Anerkennungen, Bestimmungen und Ermächtigungen § 17 Absatz 1 Satz 2 bis 4 und Absatz 2 bis 6 des Atomgesetzes über inhaltliche Beschränkungen, Auflagen, Befristung, Rücknahme, Widerruf und die Bezeichnung als Inhaber einer Kernanlage,</w:t>
      </w:r>
    </w:p>
    <w:p>
      <w:pPr>
        <w:ind w:left="420"/>
      </w:pPr>
      <w:r>
        <w:t xml:space="preserve">2. § 19 Absatz 1 Satz 2 bis 4, Absatz 2 Satz 1 bis 3 und Absatz 3 bis 5 des Atomgesetzes über die staatliche Aufsicht und</w:t>
      </w:r>
    </w:p>
    <w:p>
      <w:pPr>
        <w:ind w:left="420"/>
      </w:pPr>
      <w:r>
        <w:t xml:space="preserve">3. § 20 des Atomgesetzes über Sachverständige.</w:t>
      </w:r>
    </w:p>
    <w:p>
      <w:r>
        <w:t xml:space="preserve">§ 31c Absatz 2 bleibt unberührt.</w:t>
      </w:r>
    </w:p>
    <w:p>
      <w:r>
        <w:t xml:space="preserve">(2) Die zuständige Behörde kann im Einzelfall diejenigen Maßnahmen zur Durchführung der Vorschriften dieses Gesetzes und der auf Grund dieses Gesetzes erlassenen Rechtsverordnungen anordnen, die zum Schutz vor der schädlichen Wirkung ionisierender Strahlung erforderlich sind. Satz 1 gilt nicht, soweit Absatz 1 Nummer 2 in Verbindung mit § 19 Absatz 3 des Atomgesetzes oder die in diesem Gesetz oder den auf dieses Gesetz gestützten Rechtsverordnungen vorgesehenen speziellen Anordnungsbefugnisse anwendbar sind. Satz 1 gilt zudem nicht für Teil 3 Kapitel 1 und Teil 4 Kapitel 1 mit Ausnahme</w:t>
      </w:r>
    </w:p>
    <w:p>
      <w:pPr>
        <w:ind w:left="420"/>
      </w:pPr>
      <w:r>
        <w:t xml:space="preserve">1. der §§ 95 und 95a,</w:t>
      </w:r>
    </w:p>
    <w:p>
      <w:pPr>
        <w:ind w:left="420"/>
      </w:pPr>
      <w:r>
        <w:t xml:space="preserve">2. der Rechtsverordnungen nach § 95 und</w:t>
      </w:r>
    </w:p>
    <w:p>
      <w:pPr>
        <w:ind w:left="420"/>
      </w:pPr>
      <w:r>
        <w:t xml:space="preserve">3. der Eilverordnungen nach § 96, soweit sie Regelungen nach § 95 über die Bewirtschaftung von Abfällen oder die Errichtung, den Betrieb oder die Benutzung von Anlagen enthalten.</w:t>
      </w:r>
    </w:p>
    <w:p>
      <w:r>
        <w:t xml:space="preserve">(3) Das Grundrecht des Artikels 13 des Grundgesetzes über die Unverletzlichkeit der Wohnung wird eingeschränkt, soweit es den Befugnissen nach Absatz 1 Nummer 2 und 3 entgegensteht.</w:t>
      </w:r>
    </w:p>
    <w:p>
      <w:r>
        <w:rPr>
          <w:color w:val="555555"/>
          <w:sz w:val="17"/>
        </w:rPr>
        <w:t xml:space="preserve">Zitiervorschlag: § 179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