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 StrlSchG — Strahlenschutzrechtliche Aufsicht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Die Durchführung dieses Gesetzes und der auf dieses Gesetz gestützten Rechtsverordnungen unterliegt der Aufsicht durch die zuständigen Behörden. Dies gilt nicht für Teil 3 Kapitel 1 und Teil 4 Kapitel 1 mit Ausnahme</w:t>
      </w:r>
    </w:p>
    <w:p>
      <w:pPr>
        <w:ind w:left="420"/>
      </w:pPr>
      <w:r>
        <w:t xml:space="preserve">1. der §§ 95 und 95a,</w:t>
      </w:r>
    </w:p>
    <w:p>
      <w:pPr>
        <w:ind w:left="420"/>
      </w:pPr>
      <w:r>
        <w:t xml:space="preserve">2. der Rechtsverordnungen nach § 95 und</w:t>
      </w:r>
    </w:p>
    <w:p>
      <w:pPr>
        <w:ind w:left="420"/>
      </w:pPr>
      <w:r>
        <w:t xml:space="preserve">3. der Eilverordnungen nach § 96, soweit sie Regelungen nach § 95 über die Bewirtschaftung von Abfällen oder die Errichtung, den Betrieb oder die Benutzung von Anlagen enthalten.</w:t>
      </w:r>
    </w:p>
    <w:p>
      <w:r>
        <w:rPr>
          <w:color w:val="555555"/>
          <w:sz w:val="17"/>
        </w:rPr>
        <w:t xml:space="preserve">Zitiervorschlag: § 178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