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177 StrlSchG — Vorsorge für die Erfüllung gesetzlicher Schadensersatzverpflichtungen</w:t>
      </w:r>
    </w:p>
    <w:p>
      <w:r>
        <w:rPr>
          <w:color w:val="555555"/>
          <w:sz w:val="18"/>
        </w:rPr>
        <w:t xml:space="preserve">Strahlenschutzgesetz</w:t>
      </w:r>
    </w:p>
    <w:p>
      <w:r>
        <w:rPr>
          <w:color w:val="555555"/>
          <w:sz w:val="18"/>
        </w:rPr>
        <w:t xml:space="preserve">Stand: 01.07.2025 (konsolidierte Textfassung, kein amtliches Inkrafttretensdatum)</w:t>
      </w:r>
    </w:p>
    <w:p>
      <w:r>
        <w:t xml:space="preserve">Im Anwendungsbereich dieses Gesetzes und der auf dieses Gesetz gestützten Rechtsverordnungen richtet sich die Vorsorge für die Erfüllung gesetzlicher Schadensersatzverpflichtungen nach den §§ 13 bis 15 des Atomgesetzes und nach der Atomrechtlichen Deckungsvorsorge-Verordnung. § 35 bleibt unberührt. Abweichend von § 13 Absatz 1 Satz 2 des Atomgesetzes kann die zuständige Behörde bei Tätigkeiten nach § 12 Absatz 1 Nummer 1, 2 oder 3 und § 31 auf eine erneute Festsetzung der Deckungsvorsorge verzichten, wenn die Überprüfung der Deckungsvorsorge ergeben hat, dass die Deckungssumme noch ausreichend bemessen ist.</w:t>
      </w:r>
    </w:p>
    <w:p>
      <w:r>
        <w:rPr>
          <w:color w:val="555555"/>
          <w:sz w:val="17"/>
        </w:rPr>
        <w:t xml:space="preserve">Zitiervorschlag: § 177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