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176 StrlSchG — Haftung für durch ionisierende Strahlung verursachte Schäden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Anwendungsbereich dieses Gesetzes und der auf dieses Gesetz gestützten Rechtsverordnungen richtet sich die Haftung für durch ionisierende Strahlung verursachte Schäden nach den §§ 25 bis 40 des Atomgesetzes.</w:t>
      </w:r>
    </w:p>
    <w:p>
      <w:r>
        <w:rPr>
          <w:color w:val="555555"/>
          <w:sz w:val="17"/>
        </w:rPr>
        <w:t xml:space="preserve">Zitiervorschlag: § 176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