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175 StrlSchG — Dosis- und Messgrößen; Verordnungsermächtigung</w:t>
      </w:r>
    </w:p>
    <w:p>
      <w:r>
        <w:rPr>
          <w:color w:val="555555"/>
          <w:sz w:val="18"/>
        </w:rPr>
        <w:t xml:space="preserve">Strahlenschutzgesetz</w:t>
      </w:r>
    </w:p>
    <w:p>
      <w:r>
        <w:rPr>
          <w:color w:val="555555"/>
          <w:sz w:val="18"/>
        </w:rPr>
        <w:t xml:space="preserve">Stand: 12.08.2020 (konsolidierte Textfassung, kein amtliches Inkrafttretensdatum)</w:t>
      </w:r>
    </w:p>
    <w:p>
      <w:r>
        <w:t xml:space="preserve">(1) Für die Ermittlung der Organ-Äquivalentdosis ist, soweit nicht anders bestimmt, die äußere und innere Exposition zu berücksichtigen; für die innere Exposition ist auch die außerhalb des Bezugszeitraums auftretende Exposition infolge der während des Bezugszeitraums aufgenommenen Radionuklide nach Maßgabe der Rechtsverordnung nach Absatz 2 Nummer 3 zu berücksichtigen. Satz 1 gilt entsprechend für die effektive Dosis.</w:t>
      </w:r>
    </w:p>
    <w:p>
      <w:r>
        <w:t xml:space="preserve">(2) Das Bundesministerium für Umwelt, Naturschutz und nukleare Sicherheit wird ermächtigt, durch Rechtsverordnung ohne Zustimmung des Bundesrates</w:t>
      </w:r>
    </w:p>
    <w:p>
      <w:pPr>
        <w:ind w:left="420"/>
      </w:pPr>
      <w:r>
        <w:t xml:space="preserve">1. nähere Anforderungen an die Bestimmung der Organ-Äquivalentdosis und ihre Berechnung festzulegen, insbesondere die für verschiedene Strahlungsarten und Strahlungsenergien zu nutzenden Wichtungsfaktoren sowie Einzelheiten der Mittelung über das Gewebe oder Organ,</w:t>
      </w:r>
    </w:p>
    <w:p>
      <w:pPr>
        <w:ind w:left="420"/>
      </w:pPr>
      <w:r>
        <w:t xml:space="preserve">2. nähere Anforderungen an die Bestimmung der effektiven Dosis sowie ihre Berechnung festzulegen, insbesondere die zu berücksichtigenden Gewebe oder Organe sowie die zu nutzenden Wichtungsfaktoren, und Festlegungen zur Bestimmung der effektiven Dosis des ungeborenen Kindes zu treffen,</w:t>
      </w:r>
    </w:p>
    <w:p>
      <w:pPr>
        <w:ind w:left="420"/>
      </w:pPr>
      <w:r>
        <w:t xml:space="preserve">3. zu bestimmen, auf welche Weise und für welchen Zeitraum bei der inneren Exposition die Dosis durch aufgenommene Radionuklide zu berücksichtigen ist,</w:t>
      </w:r>
    </w:p>
    <w:p>
      <w:pPr>
        <w:ind w:left="420"/>
      </w:pPr>
      <w:r>
        <w:t xml:space="preserve">4. festzulegen, welche Messgrößen im Hinblick auf die Ermittlung der äußeren Exposition zu benutzen sind und wie diese Ermittlung zu erfolgen hat,</w:t>
      </w:r>
    </w:p>
    <w:p>
      <w:pPr>
        <w:ind w:left="420"/>
      </w:pPr>
      <w:r>
        <w:t xml:space="preserve">5. die Daten festzulegen, die bei der Ermittlung der Körperdosis aus Größen des Strahlungsfeldes oder der Aktivität zugrunde zu legen sind, und</w:t>
      </w:r>
    </w:p>
    <w:p>
      <w:pPr>
        <w:ind w:left="420"/>
      </w:pPr>
      <w:r>
        <w:t xml:space="preserve">6. zu bestimmen, welche Einheiten für die Größen im Strahlenschutz zu verwenden sind.</w:t>
      </w:r>
    </w:p>
    <w:p>
      <w:r>
        <w:rPr>
          <w:color w:val="555555"/>
          <w:sz w:val="17"/>
        </w:rPr>
        <w:t xml:space="preserve">Zitiervorschlag: § 175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