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173 StrlSchG — Verordnungsermächtigungen für Mitteilungspflichten bei Fund und Erlangung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festzulegen, dass, auf welche Weise und durch wen den zuständigen Behörden Folgendes zu melden ist:</w:t>
      </w:r>
    </w:p>
    <w:p>
      <w:pPr>
        <w:ind w:left="420"/>
      </w:pPr>
      <w:r>
        <w:t xml:space="preserve">1. der Fund, das Abhandenkommen und das Wiederauffinden von Stoffen, sofern zu befürchten ist, dass deren Aktivität oder spezifische Aktivität die nach einer Rechtsverordnung nach § 24 Satz 1 Nummer 10 festgelegten Werte überschreitet,</w:t>
      </w:r>
    </w:p>
    <w:p>
      <w:pPr>
        <w:ind w:left="420"/>
      </w:pPr>
      <w:r>
        <w:t xml:space="preserve">2. das Vorhandensein von Wasser in einer Wasserversorgungsanlage oder in einer Abwasseranlage, das Radionuklide enthält, deren Aktivitätskonzentration die in der Rechtsverordnung festgelegten Werte oder Grenzen überschreitet,</w:t>
      </w:r>
    </w:p>
    <w:p>
      <w:pPr>
        <w:ind w:left="420"/>
      </w:pPr>
      <w:r>
        <w:t xml:space="preserve">3. die Vermutung oder die Kenntnis, dass eine herrenlose Strahlenquelle eingeschmolzen oder auf sonstige Weise metallurgisch verwendet worden ist.</w:t>
      </w:r>
    </w:p>
    <w:p>
      <w:r>
        <w:rPr>
          <w:color w:val="555555"/>
          <w:sz w:val="17"/>
        </w:rPr>
        <w:t xml:space="preserve">Zitiervorschlag: § 173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