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 StrlSchG — Verordnungsermächtigung für Vorgaben in Bezug auf einen Strahlenpass</w:t>
      </w:r>
    </w:p>
    <w:p>
      <w:r>
        <w:rPr>
          <w:color w:val="555555"/>
          <w:sz w:val="18"/>
        </w:rPr>
        <w:t xml:space="preserve">Strahlenschutzgesetz</w:t>
      </w:r>
    </w:p>
    <w:p>
      <w:r>
        <w:rPr>
          <w:color w:val="555555"/>
          <w:sz w:val="18"/>
        </w:rPr>
        <w:t xml:space="preserve">Stand: 05.06.2021 (konsolidierte Textfassung, kein amtliches Inkrafttretensdatum)</w:t>
      </w:r>
    </w:p>
    <w:p>
      <w:r>
        <w:t xml:space="preserve">Die Bundesregierung wird ermächtigt, durch Rechtsverordnung mit Zustimmung des Bundesrates Vorgaben in Bezug auf einen zu führenden Strahlenpass festzulegen. In der Rechtsverordnung kann insbesondere festgelegt werden,</w:t>
      </w:r>
    </w:p>
    <w:p>
      <w:pPr>
        <w:ind w:left="420"/>
      </w:pPr>
      <w:r>
        <w:t xml:space="preserve">1. wann zum Zweck der Überwachung von Dosisgrenzwerten und der Beachtung der Strahlenschutzgrundsätze ein Strahlenpass zu führen ist, welche Daten nach § 170 Absatz 2 und welche Daten zum Ergebnis der ärztlichen Überwachungsuntersuchung eingetragen werden, welche Form der Strahlenpass hat, wie er zu registrieren oder seine Gültigkeit zu verlängern ist und wer Einträge vornehmen und die Inhalte verwenden darf,</w:t>
      </w:r>
    </w:p>
    <w:p>
      <w:pPr>
        <w:ind w:left="420"/>
      </w:pPr>
      <w:r>
        <w:t xml:space="preserve">2. unter welchen Bedingungen Strahlenpässe, die außerhalb des Geltungsbereichs dieses Gesetzes ausgestellt wurden, anerkannt werden,</w:t>
      </w:r>
    </w:p>
    <w:p>
      <w:pPr>
        <w:ind w:left="420"/>
      </w:pPr>
      <w:r>
        <w:t xml:space="preserve">3. unter welchen Voraussetzungen die Behörde einen Strahlenpass vernichten darf.</w:t>
      </w:r>
    </w:p>
    <w:p>
      <w:r>
        <w:rPr>
          <w:color w:val="555555"/>
          <w:sz w:val="17"/>
        </w:rPr>
        <w:t xml:space="preserve">Zitiervorschlag: § 171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