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StrlSchG — Strahlenschutzregister;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Daten über berufliche Expositionen, die auf Grund dieses Gesetzes oder einer auf diesem Gesetz gestützten Rechtsverordnung erhoben werden, werden zum Zweck der Überwachung von Dosisgrenzwerten und der Beachtung der Strahlenschutzgrundsätze, zur Prüfung des Bestehens eines Anspruchs gegen einen Träger der gesetzlichen Unfallversicherung sowie zum Zweck der wissenschaftlichen Forschung im Bereich des Strahlenschutzes in einem beim Bundesamt für Strahlenschutz eingerichteten Register (Strahlenschutzregister) erfasst.</w:t>
      </w:r>
    </w:p>
    <w:p>
      <w:r>
        <w:t xml:space="preserve">(2) In das Strahlenschutzregister werden die folgenden Daten eingetragen:</w:t>
      </w:r>
    </w:p>
    <w:p>
      <w:pPr>
        <w:ind w:left="420"/>
      </w:pPr>
      <w:r>
        <w:t xml:space="preserve">1. die persönliche Kennnummer nach Absatz 3,</w:t>
      </w:r>
    </w:p>
    <w:p>
      <w:pPr>
        <w:ind w:left="420"/>
      </w:pPr>
      <w:r>
        <w:t xml:space="preserve">2. die jeweiligen Personendaten,</w:t>
      </w:r>
    </w:p>
    <w:p>
      <w:pPr>
        <w:ind w:left="420"/>
      </w:pPr>
      <w:r>
        <w:t xml:space="preserve">3. Beschäftigungsmerkmale und Expositionsverhältnisse,</w:t>
      </w:r>
    </w:p>
    <w:p>
      <w:pPr>
        <w:ind w:left="420"/>
      </w:pPr>
      <w:r>
        <w:t xml:space="preserve">4. die Betriebsnummer des Beschäftigungsbetriebs,</w:t>
      </w:r>
    </w:p>
    <w:p>
      <w:pPr>
        <w:ind w:left="420"/>
      </w:pPr>
      <w:r>
        <w:t xml:space="preserve">5. Name und Anschrift des Strahlenschutzverantwortlichen, des Verpflichteten nach § 131 Absatz 1 und § 145 Absatz 1 Satz 1 sowie des Verantwortlichen nach § 115 Absatz 2 und § 153 Absatz 1,</w:t>
      </w:r>
    </w:p>
    <w:p>
      <w:pPr>
        <w:ind w:left="420"/>
      </w:pPr>
      <w:r>
        <w:t xml:space="preserve">6. Angaben über einen nach einer auf dieses Gesetz gestützten Rechtsverordnung registrierten Strahlenpass,</w:t>
      </w:r>
    </w:p>
    <w:p>
      <w:pPr>
        <w:ind w:left="420"/>
      </w:pPr>
      <w:r>
        <w:t xml:space="preserve">7. Angaben über die zuständige Behörde und</w:t>
      </w:r>
    </w:p>
    <w:p>
      <w:pPr>
        <w:ind w:left="420"/>
      </w:pPr>
      <w:r>
        <w:t xml:space="preserve">8. die nach diesem Gesetz oder einer auf dieses Gesetz gestützten Rechtsverordnung ermittelte Körperdosis infolge einer beruflichen Exposition, die Expositionsbedingungen sowie die Feststellungen der zuständigen Behörde hinsichtlich dieser Körperdosis und der Expositionsbedingungen.</w:t>
      </w:r>
    </w:p>
    <w:p>
      <w:r>
        <w:t xml:space="preserve">(3) Zur eindeutigen Zuordnung der Eintragungen nach Absatz 2 vergibt das Bundesamt für Strahlenschutz für jede Person, für die Eintragungen vorgenommen werden, eine persönliche Kennnummer. Die persönliche Kennnummer ist mittels nicht rückführbarer Verschlüsselung aus der Versicherungsnummer nach § 147 des Sechsten Buches Sozialgesetzbuch abzuleiten, die der jeweiligen Person zugeordnet ist. Die Versicherungsnummer ist nach Ableitung der Kennnummer zu löschen. Ist einer Person bereits eine andere Identifikationsnummer zugeordnet, die eine zuständige Stelle außerhalb des Geltungsbereichs dieses Gesetzes vergeben hat, und ist diese Identifikationsnummer für die Verwendung im Strahlenschutzregister geeignet, so kann das Bundesamt für Strahlenschutz diese Identifikationsnummer als persönliche Kennnummer verwenden. Für eine Person, der weder eine Versicherungsnummer noch eine Identifikationsnummer zugeordnet ist, vergibt das Bundesamt für Strahlenschutz auf der Basis der Personendaten eine persönliche Kennnummer.</w:t>
      </w:r>
    </w:p>
    <w:p>
      <w:r>
        <w:t xml:space="preserve">(4) Die Daten nach Absatz 2 werden dem Strahlenschutzregister übermittelt durch</w:t>
      </w:r>
    </w:p>
    <w:p>
      <w:pPr>
        <w:ind w:left="420"/>
      </w:pPr>
      <w:r>
        <w:t xml:space="preserve">1. die Messstellen nach § 169,</w:t>
      </w:r>
    </w:p>
    <w:p>
      <w:pPr>
        <w:ind w:left="420"/>
      </w:pPr>
      <w:r>
        <w:t xml:space="preserve">2. die zuständigen Behörden oder</w:t>
      </w:r>
    </w:p>
    <w:p>
      <w:pPr>
        <w:ind w:left="420"/>
      </w:pPr>
      <w:r>
        <w:t xml:space="preserve">3. den Strahlenschutzverantwortlichen, den Verpflichteten nach § 131 Absatz 1 oder § 145 Absatz 1 Satz 1, den Verantwortlichen nach § 115 Absatz 2 oder § 153 Absatz 1.</w:t>
      </w:r>
    </w:p>
    <w:p>
      <w:r>
        <w:t xml:space="preserve">Die Personen nach Nummer 4 übermitteln dem Strahlenschutzregister zur Erzeugung der persönlichen Kennnummer die Versicherungsnummer oder Identifikationsnummer nach Absatz 3 zusätzlich zu den für die Zuordnung erforderlichen Daten nach Absatz 2.</w:t>
      </w:r>
    </w:p>
    <w:p>
      <w:r>
        <w:t xml:space="preserve">(5) Auskünfte aus dem Strahlenschutzregister werden erteilt, soweit dies für die Wahrnehmung der Aufgaben des Empfängers erforderlich ist,</w:t>
      </w:r>
    </w:p>
    <w:p>
      <w:pPr>
        <w:ind w:left="420"/>
      </w:pPr>
      <w:r>
        <w:t xml:space="preserve">1. einer zuständigen Behörde,</w:t>
      </w:r>
    </w:p>
    <w:p>
      <w:pPr>
        <w:ind w:left="420"/>
      </w:pPr>
      <w:r>
        <w:t xml:space="preserve">2. einer Messstelle nach § 169,</w:t>
      </w:r>
    </w:p>
    <w:p>
      <w:pPr>
        <w:ind w:left="420"/>
      </w:pPr>
      <w:r>
        <w:t xml:space="preserve">3. auf Antrag einem Strahlenschutzverantwortlichen, Verpflichteten nach § 131 Absatz 1 oder § 145 Absatz 1 Satz 1, Verantwortlichen nach § 153 Absatz 1 über Daten, die bei ihm beschäftigte Personen betreffen,</w:t>
      </w:r>
    </w:p>
    <w:p>
      <w:pPr>
        <w:ind w:left="420"/>
      </w:pPr>
      <w:r>
        <w:t xml:space="preserve">4. auf Antrag einem Verantwortlichen nach § 115 Absatz 2 über Daten für Personen, für die er verantwortlich ist,</w:t>
      </w:r>
    </w:p>
    <w:p>
      <w:pPr>
        <w:ind w:left="420"/>
      </w:pPr>
      <w:r>
        <w:t xml:space="preserve">5. auf Antrag einem Träger der gesetzlichen Unfallversicherung über Daten, die bei ihm versicherte Personen betreffen.</w:t>
      </w:r>
    </w:p>
    <w:p>
      <w:r>
        <w:t xml:space="preserve">Das Bundesamt für Strahlenschutz kann den in Satz 1 Nummer 1 und 2 genannten Behörden und Messstellen die Daten nach Absatz 2 sowie Auswertungen aus diesen Daten auch durch automatisierte Abrufverfahren übermitteln, soweit die Daten zur Wahrnehmung der Aufgaben der abrufenden Behörden und Messstellen erforderlich sind. Die in Satz 1 Nummer 1 und 2 genannten Behörden dürfen die Daten nach Satz 2 im automatisierten Verfahren beim Bundesamt für Strahlenschutz abrufen, soweit dies für die Wahrnehmung ihrer Aufgaben erforderlich ist. Die zuständige Behörde kann Auskünfte aus dem Strahlenschutzregister an einen Strahlenschutzverantwortlichen, Verpflichteten oder Verantwortlichen, an deren Strahlenschutzbeauftragten sowie an ermächtigte Ärzte nach § 79 Absatz 1 Satz 2 Nummer 9 Buchstabe a weitergeben, soweit dies zur Wahrnehmung ihrer Aufgaben erforderlich ist.</w:t>
      </w:r>
    </w:p>
    <w:p>
      <w:r>
        <w:t xml:space="preserve">(6) Die Übermittlung der im Strahlenschutzregister gespeicherten personenbezogenen Daten zu Zwecken der wissenschaftlichen Forschung (Forschungszwecken) an Dritte ist nur unter den Voraussetzungen der Absätze 7 und 8 zulässig. Soweit die betroffenen Personen nicht in die Veröffentlichung der sie betreffenden Daten eingewilligt haben, dürfen Forschungsergebnisse nur anonymisiert veröffentlicht werden. Auch nach dem Tod der betroffenen Personen sind die Bestimmungen des Bundesdatenschutzgesetzes und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einzuhalten.</w:t>
      </w:r>
    </w:p>
    <w:p>
      <w:r>
        <w:t xml:space="preserve">(7) Für Forschungszwecke im Bereich des Strahlenschutzes dürfen personenbezogene Daten aus dem Strahlenschutzregister mit Einwilligung der betroffenen Personen an Dritte übermittelt werden. Ohne diese Einwilligung dürfen die Daten übermittelt werden, wenn schutzwürdige Belange der betroffenen Personen der Übermittlung oder der beabsichtigten Verarbeitung der Daten nicht entgegenstehen oder wenn das öffentliche Interesse an der Forschungsarbeit das Geheimhaltungsinteresse der betroffenen Personen erheblich überwiegt. Eine Übermittlung personenbezogener Daten für Forschungszwecke ist ausgeschlossen, wenn der Zweck der Forschung mit einem vertretbaren Aufwand durch die Verarbeitung anonymisierter Daten erfüllt werden kann. Soweit besondere Kategorien von Daten im Sinne von Artikel 9 Absatz 1 der Verordnung (EU) 2016/679 übermittelt werden, sind angemessene und spezifische Maßnahmen zur Wahrung der Interessen der betroffenen Person gemäß § 22 Absatz 2 Satz 2 des Bundesdatenschutzgesetzes zu treffen.</w:t>
      </w:r>
    </w:p>
    <w:p>
      <w:r>
        <w:t xml:space="preserve">(8) Wird eine Übermittlung personenbezogener Daten zu Forschungszwecken beantragt, so ist die Einwilligung der betroffenen Personen nachzuweisen. Soll die Übermittlung ohne Einwilligung der betroffenen Personen erfolgen, sind die für die Prüfung der Voraussetzungen nach Absatz 7 Satz 2 erforderlichen Angaben zu machen; zu Absatz 7 Satz 3 ist glaubhaft zu machen, dass der Zweck der Forschung bei Verarbeitung anonymisierter Daten nicht mit vertretbarem Aufwand erfüllt werden kann. Besondere Kategorien von Daten im Sinne von Artikel 9 Absatz 1 der Verordnung (EU) 2016/679 dürfen nur für die Forschungsarbeit verarbeitet werden, für die sie übermittelt worden sind; die Verarbeitung für andere Forschungsarbeiten oder die Übermittlung richtet sich nach den Sätzen 1 und 2 und bedarf der Zustimmung des Bundesamtes für Strahlenschutz.</w:t>
      </w:r>
    </w:p>
    <w:p>
      <w:r>
        <w:t xml:space="preserve">(9) Die Bundesregierung wird ermächtigt, durch Rechtsverordnung mit Zustimmung des Bundesrates zu bestimmen,</w:t>
      </w:r>
    </w:p>
    <w:p>
      <w:pPr>
        <w:ind w:left="420"/>
      </w:pPr>
      <w:r>
        <w:t xml:space="preserve">1. auf welche Weise die persönliche Kennnummer nach Absatz 3 erzeugt wird, wie sie beschaffen sein muss und unter welchen Voraussetzungen eine Identifikationsnummer, die außerhalb des Geltungsbereichs dieses Gesetzes vergeben wurde, genutzt werden kann,</w:t>
      </w:r>
    </w:p>
    <w:p>
      <w:pPr>
        <w:ind w:left="420"/>
      </w:pPr>
      <w:r>
        <w:t xml:space="preserve">2. welche technischen und organisatorischen Maßnahmen für die Übermittlung von Angaben nach Absatz 2 durch die Stellen nach Absatz 4 zum Strahlenschutzregister zu treffen sind,</w:t>
      </w:r>
    </w:p>
    <w:p>
      <w:pPr>
        <w:ind w:left="420"/>
      </w:pPr>
      <w:r>
        <w:t xml:space="preserve">3. unter welchen Voraussetzungen und in welchem Verfahren zum Zweck der Überwachung von Dosisgrenzwerten, der Beachtung der Strahlenschutzgrundsätze, zur Prüfung des Bestehens eines Auskunftsanspruchs oder zur Qualitätssicherung in erforderlichem Umfang an die Stellen und Personen nach Absatz 5 Auskünfte aus dem Strahlenschutzregister erteilt und weitergegeben und dabei personenbezogene Daten übermittelt werden dürfen.</w:t>
      </w:r>
    </w:p>
    <w:p>
      <w:r>
        <w:rPr>
          <w:color w:val="555555"/>
          <w:sz w:val="17"/>
        </w:rPr>
        <w:t xml:space="preserve">Zitiervorschlag: § 170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