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168 StrlSchG — Übermittlung der Ergebnisse der Ermittlung der Körperdosis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Strahlenschutzverantwortliche, der Verpflichtete nach § 131 Absatz 1 oder § 145 Absatz 1 Satz 1 sowie der Verantwortliche nach § 115 Absatz 2 oder § 153 Absatz 1 haben, soweit sie sich einer Messstelle nach § 169 Absatz 1 zur Ermittlung der beruflichen Exposition bedienen, dieser Messstelle die Daten nach § 170 Absatz 2 Nummer 1 bis 7 derjenigen Personen zur Verfügung zu stellen, für die die Körperdosis ermittelt werden soll. Der zuständigen Behörde sind die Angaben nach Satz 1 sowie die ermittelte Körperdosis auf Verlangen vorzulegen.</w:t>
      </w:r>
    </w:p>
    <w:p>
      <w:r>
        <w:t xml:space="preserve">(2) Soweit sich die nach Absatz 1 zur Übermittlung Verpflichteten zur Ermittlung der beruflichen Exposition keiner Messstelle nach § 169 Absatz 1 bedienen, haben sie die Daten nach § 170 Absatz 2 einschließlich der ermittelten Körperdosis der zuständigen Behörde vorzulegen.</w:t>
      </w:r>
    </w:p>
    <w:p>
      <w:r>
        <w:rPr>
          <w:color w:val="555555"/>
          <w:sz w:val="17"/>
        </w:rPr>
        <w:t xml:space="preserve">Zitiervorschlag: § 168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