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 StrlSchG — Festlegungen zur Ermittlung der beruflichen Exposition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Körperdosen einer Person aus beruflicher Exposition sind zu addieren, wenn sie nach diesem Gesetz oder einer auf dieses Gesetz gestützten Rechtsverordnung in mehreren der folgenden Bereiche zu ermitteln sind:</w:t>
      </w:r>
    </w:p>
    <w:p>
      <w:pPr>
        <w:ind w:left="420"/>
      </w:pPr>
      <w:r>
        <w:t xml:space="preserve">1. bei Tätigkeiten als beruflich exponierte Person,</w:t>
      </w:r>
    </w:p>
    <w:p>
      <w:pPr>
        <w:ind w:left="420"/>
      </w:pPr>
      <w:r>
        <w:t xml:space="preserve">2. im Zusammenhang mit Radon am Arbeitsplatz,</w:t>
      </w:r>
    </w:p>
    <w:p>
      <w:pPr>
        <w:ind w:left="420"/>
      </w:pPr>
      <w:r>
        <w:t xml:space="preserve">3. bei Sanierungs- und sonstigen Maßnahmen zur Verhinderung und Verminderung der Exposition bei radioaktiven Altlasten sowie sonstigen Betätigungen im Zusammenhang mit radioaktiven Altlasten und</w:t>
      </w:r>
    </w:p>
    <w:p>
      <w:pPr>
        <w:ind w:left="420"/>
      </w:pPr>
      <w:r>
        <w:t xml:space="preserve">4. bei anmeldebedürftigen sonstigen bestehenden Expositionssituationen.</w:t>
      </w:r>
    </w:p>
    <w:p>
      <w:r>
        <w:t xml:space="preserve">Für den Nachweis, dass die jeweils geltenden Grenzwerte nicht überschritten wurden, ist die Summe entscheidend.</w:t>
      </w:r>
    </w:p>
    <w:p>
      <w:r>
        <w:t xml:space="preserve">(2) Außerhalb des räumlichen Geltungsbereichs dieses Gesetzes erfolgte Expositionen, die denen nach Absatz 1 entsprechen, sind bei der Ermittlung der beruflichen Exposition zu berücksichtigen.</w:t>
      </w:r>
    </w:p>
    <w:p>
      <w:r>
        <w:rPr>
          <w:color w:val="555555"/>
          <w:sz w:val="17"/>
        </w:rPr>
        <w:t xml:space="preserve">Zitiervorschlag: § 166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