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164 StrlSchG — Bewertung der Daten, Unterrichtung des Deutschen Bundestages und des Bundesrates</w:t>
      </w:r>
    </w:p>
    <w:p>
      <w:r>
        <w:rPr>
          <w:color w:val="555555"/>
          <w:sz w:val="18"/>
        </w:rPr>
        <w:t xml:space="preserve">Strahlenschutzgesetz</w:t>
      </w:r>
    </w:p>
    <w:p>
      <w:r>
        <w:rPr>
          <w:color w:val="555555"/>
          <w:sz w:val="18"/>
        </w:rPr>
        <w:t xml:space="preserve">Stand: 12.08.2020 (konsolidierte Textfassung, kein amtliches Inkrafttretensdatum)</w:t>
      </w:r>
    </w:p>
    <w:p>
      <w:r>
        <w:t xml:space="preserve">(1) Das Bundesministerium für Umwelt, Naturschutz und nukleare Sicherheit bewertet die Daten zur Umweltradioaktivität. Die Zentralstelle des Bundes für die Überwachung der Umweltradioaktivität unterstützt es bei der Wahrnehmung dieser Aufgabe.</w:t>
      </w:r>
    </w:p>
    <w:p>
      <w:r>
        <w:t xml:space="preserve">(2) Das Bundesministerium für Umwelt, Naturschutz und nukleare Sicherheit leitet dem Deutschen Bundestag und dem Bundesrat jährlich einen Bericht über die Entwicklung der Radioaktivität in der Umwelt zu.</w:t>
      </w:r>
    </w:p>
    <w:p>
      <w:r>
        <w:rPr>
          <w:color w:val="555555"/>
          <w:sz w:val="17"/>
        </w:rPr>
        <w:t xml:space="preserve">Zitiervorschlag: § 164 StrlSchG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https://recht.nulegal.eu/gesetze/StrlSchG/164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