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163 StrlSchG — Integriertes Mess- und Informationssystem des Bundes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Strahlenschutz als Zentralstelle des Bundes für die Überwachung der Umweltradioaktivität betreibt ein integriertes Mess- und Informationssystem für die Überwachung der Umweltradioaktivität. In diesem Mess- und Informationssystem werden die nach § 161 Absatz 1 und § 162 Absatz 1 ermittelten Daten zusammengefasst.</w:t>
      </w:r>
    </w:p>
    <w:p>
      <w:r>
        <w:t xml:space="preserve">(2) Die im integrierten Mess- und Informationssystem zusammengefassten Daten stehen den zuständigen Landesbehörden direkt zur Verfügung.</w:t>
      </w:r>
    </w:p>
    <w:p>
      <w:r>
        <w:rPr>
          <w:color w:val="555555"/>
          <w:sz w:val="17"/>
        </w:rPr>
        <w:t xml:space="preserve">Zitiervorschlag: § 163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