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StrlSchG — Aufgaben der Länder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Länder ermitteln die Radioaktivität insbesondere</w:t>
      </w:r>
    </w:p>
    <w:p>
      <w:pPr>
        <w:ind w:left="420"/>
      </w:pPr>
      <w:r>
        <w:t xml:space="preserve">1. in Lebensmitteln, in Futtermitteln und in Bedarfsgegenständen, sofern diese als Indikatoren für die Umweltradioaktivität dienen,</w:t>
      </w:r>
    </w:p>
    <w:p>
      <w:pPr>
        <w:ind w:left="420"/>
      </w:pPr>
      <w:r>
        <w:t xml:space="preserve">2. in Arzneimitteln und deren Ausgangsstoffen,</w:t>
      </w:r>
    </w:p>
    <w:p>
      <w:pPr>
        <w:ind w:left="420"/>
      </w:pPr>
      <w:r>
        <w:t xml:space="preserve">3. im Trinkwasser, im Grundwasser und in oberirdischen Gewässern außer Bundeswasserstraßen,</w:t>
      </w:r>
    </w:p>
    <w:p>
      <w:pPr>
        <w:ind w:left="420"/>
      </w:pPr>
      <w:r>
        <w:t xml:space="preserve">4. in Abwässern, im Klärschlamm und in Abfällen sowie</w:t>
      </w:r>
    </w:p>
    <w:p>
      <w:pPr>
        <w:ind w:left="420"/>
      </w:pPr>
      <w:r>
        <w:t xml:space="preserve">5. im Boden und in Pflanzen.</w:t>
      </w:r>
    </w:p>
    <w:p>
      <w:r>
        <w:t xml:space="preserve">(2) Die Länder übermitteln der Zentralstelle des Bundes für die Überwachung der Umweltradioaktivität (§ 163) die Daten, die sie gemäß Absatz 1 ermittelt haben.</w:t>
      </w:r>
    </w:p>
    <w:p>
      <w:r>
        <w:rPr>
          <w:color w:val="555555"/>
          <w:sz w:val="17"/>
        </w:rPr>
        <w:t xml:space="preserve">Zitiervorschlag: § 162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