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 StrlSchG — Aufgaben des Bundes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Aufgaben des Bundes sind</w:t>
      </w:r>
    </w:p>
    <w:p>
      <w:pPr>
        <w:ind w:left="420"/>
      </w:pPr>
      <w:r>
        <w:t xml:space="preserve">1. die großräumige Ermittlung</w:t>
      </w:r>
    </w:p>
    <w:p>
      <w:pPr>
        <w:ind w:left="780"/>
      </w:pPr>
      <w:r>
        <w:t xml:space="preserve">a) der Radioaktivität in der Luft,</w:t>
      </w:r>
    </w:p>
    <w:p>
      <w:pPr>
        <w:ind w:left="780"/>
      </w:pPr>
      <w:r>
        <w:t xml:space="preserve">b) der Radioaktivität in Niederschlägen,</w:t>
      </w:r>
    </w:p>
    <w:p>
      <w:pPr>
        <w:ind w:left="780"/>
      </w:pPr>
      <w:r>
        <w:t xml:space="preserve">c) der Radioaktivität in Bundeswasserstraßen und in der Nord- und Ostsee außerhalb der Bundeswasserstraßen sowie in Meeresorganismen,</w:t>
      </w:r>
    </w:p>
    <w:p>
      <w:pPr>
        <w:ind w:left="780"/>
      </w:pPr>
      <w:r>
        <w:t xml:space="preserve">d) der Radioaktivität auf der Bodenoberfläche und</w:t>
      </w:r>
    </w:p>
    <w:p>
      <w:pPr>
        <w:ind w:left="780"/>
      </w:pPr>
      <w:r>
        <w:t xml:space="preserve">e) der Gamma-Ortsdosisleistung,</w:t>
      </w:r>
    </w:p>
    <w:p>
      <w:pPr>
        <w:ind w:left="420"/>
      </w:pPr>
      <w:r>
        <w:t xml:space="preserve">2. die Entwicklung und Festlegung von Probenahme-, Analyse-, Mess- und Berechnungsverfahren zur Ermittlung der Umweltradioaktivität sowie die Durchführung von Vergleichsmessungen und Vergleichsanalysen,</w:t>
      </w:r>
    </w:p>
    <w:p>
      <w:pPr>
        <w:ind w:left="420"/>
      </w:pPr>
      <w:r>
        <w:t xml:space="preserve">3. die Zusammenfassung, Dokumentation und Aufbereitung der vom Bund ermittelten sowie der von den Ländern und von Stellen außerhalb des Geltungsbereichs dieses Gesetzes übermittelten Daten zur Umweltradioaktivität,</w:t>
      </w:r>
    </w:p>
    <w:p>
      <w:pPr>
        <w:ind w:left="420"/>
      </w:pPr>
      <w:r>
        <w:t xml:space="preserve">4. die Erstellung von Ausbreitungsprognosen,</w:t>
      </w:r>
    </w:p>
    <w:p>
      <w:pPr>
        <w:ind w:left="420"/>
      </w:pPr>
      <w:r>
        <w:t xml:space="preserve">5. die Entwicklung und der Betrieb von Entscheidungshilfesystemen,</w:t>
      </w:r>
    </w:p>
    <w:p>
      <w:pPr>
        <w:ind w:left="420"/>
      </w:pPr>
      <w:r>
        <w:t xml:space="preserve">6. die Bewertung der Daten zur Umweltradioaktivität, soweit sie vom Bund oder im Auftrag des Bundes durch die Länder ermittelt worden sind, und</w:t>
      </w:r>
    </w:p>
    <w:p>
      <w:pPr>
        <w:ind w:left="420"/>
      </w:pPr>
      <w:r>
        <w:t xml:space="preserve">7. die Bereitstellung von Daten und Dokumenten nach den Nummern 1, 3, 4 und 5 für die Länder und die Unterrichtung der Länder über die Ergebnisse der Bewertung der Daten.</w:t>
      </w:r>
    </w:p>
    <w:p>
      <w:r>
        <w:t xml:space="preserve">(2) Die zuständigen Behörden des Bundes übermitteln der Zentralstelle des Bundes für die Überwachung der Umweltradioaktivität (§ 163) die Daten, die sie gemäß Absatz 1 Nummer 1 ermittelt haben.</w:t>
      </w:r>
    </w:p>
    <w:p>
      <w:r>
        <w:t xml:space="preserve">(3) Die Länder können weitergehende Ermittlungen der Radioaktivität in den in Absatz 1 Nummer 1 genannten Bereichen durchführen.</w:t>
      </w:r>
    </w:p>
    <w:p>
      <w:r>
        <w:t xml:space="preserve">(4) Die Messstellen für die Ermittlung der Radioaktivität nach Absatz 1 Nummer 1 legt der Bund im Benehmen mit den zuständigen Landesbehörden fest.</w:t>
      </w:r>
    </w:p>
    <w:p>
      <w:r>
        <w:rPr>
          <w:color w:val="555555"/>
          <w:sz w:val="17"/>
        </w:rPr>
        <w:t xml:space="preserve">Zitiervorschlag: § 161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