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158 StrlSchG — Information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</w:t>
      </w:r>
    </w:p>
    <w:p>
      <w:pPr>
        <w:ind w:left="420"/>
      </w:pPr>
      <w:r>
        <w:t xml:space="preserve">1. informiert die exponierte und potentiell exponierte Bevölkerung in regelmäßigen Abständen über mögliche Risiken durch die sonstige bestehende Expositionssituation sowie über die verfügbaren Maßnahmen zur Verringerung ihrer Exposition und</w:t>
      </w:r>
    </w:p>
    <w:p>
      <w:pPr>
        <w:ind w:left="420"/>
      </w:pPr>
      <w:r>
        <w:t xml:space="preserve">2. veröffentlicht Empfehlungen für das individuelle Verhalten oder Maßnahmen auf örtlicher Ebene und aktualisiert diese erforderlichenfalls.</w:t>
      </w:r>
    </w:p>
    <w:p>
      <w:r>
        <w:t xml:space="preserve">(2) Die zuständige Behörde kann einen oder mehrere für die Expositionssituation Verantwortliche verpflichten, die vorgesehenen Informationen zur Verfügung zu stellen.</w:t>
      </w:r>
    </w:p>
    <w:p>
      <w:r>
        <w:rPr>
          <w:color w:val="555555"/>
          <w:sz w:val="17"/>
        </w:rPr>
        <w:t xml:space="preserve">Zitiervorschlag: § 158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