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StrlSchG — Verordnungsermächtigung für die Festlegung von Referenzwerten</w:t>
      </w:r>
    </w:p>
    <w:p>
      <w:r>
        <w:rPr>
          <w:color w:val="555555"/>
          <w:sz w:val="18"/>
        </w:rPr>
        <w:t xml:space="preserve">Strahlenschutzgesetz</w:t>
      </w:r>
    </w:p>
    <w:p>
      <w:r>
        <w:rPr>
          <w:color w:val="555555"/>
          <w:sz w:val="18"/>
        </w:rPr>
        <w:t xml:space="preserve">Stand: 12.08.2020 (konsolidierte Textfassung, kein amtliches Inkrafttretensdatum)</w:t>
      </w:r>
    </w:p>
    <w:p>
      <w:r>
        <w:t xml:space="preserve">Das Bundesministerium für Umwelt, Naturschutz und nukleare Sicherheit wird ermächtigt, durch Rechtsverordnung mit Zustimmung des Bundesrates Referenzwerte für Arten von sonstigen bestehenden Expositionssituationen festzulegen, die eine angemessene Behandlung, die den Risiken und der Wirksamkeit der zu treffenden Maßnahmen entspricht, ermöglichen.</w:t>
      </w:r>
    </w:p>
    <w:p>
      <w:r>
        <w:rPr>
          <w:color w:val="555555"/>
          <w:sz w:val="17"/>
        </w:rPr>
        <w:t xml:space="preserve">Zitiervorschlag: § 155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