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154 StrlSchG — Ermittlung und Bewertung einer sonstigen bestehenden Expositionssituation</w:t>
      </w:r>
    </w:p>
    <w:p>
      <w:r>
        <w:rPr>
          <w:color w:val="555555"/>
          <w:sz w:val="18"/>
        </w:rPr>
        <w:t xml:space="preserve">Strahlenschutzgesetz</w:t>
      </w:r>
    </w:p>
    <w:p>
      <w:r>
        <w:rPr>
          <w:color w:val="555555"/>
          <w:sz w:val="18"/>
        </w:rPr>
        <w:t xml:space="preserve">Stand: 10.06.2019 (konsolidierte Textfassung, kein amtliches Inkrafttretensdatum)</w:t>
      </w:r>
    </w:p>
    <w:p>
      <w:r>
        <w:t xml:space="preserve">(1) Die zuständige Behörde trifft bei Anhaltspunkten für eine sonstige bestehende Expositionssituation oder für eine nachgewiesene sonstige bestehende Expositionssituation, die jeweils unter Strahlenschutzgesichtspunkten nicht außer Acht gelassen werden kann, die erforderlichen Maßnahmen, um</w:t>
      </w:r>
    </w:p>
    <w:p>
      <w:pPr>
        <w:ind w:left="420"/>
      </w:pPr>
      <w:r>
        <w:t xml:space="preserve">1. Ursache, nähere Umstände und Ausmaß der sonstigen bestehenden Expositionssituation zu ermitteln,</w:t>
      </w:r>
    </w:p>
    <w:p>
      <w:pPr>
        <w:ind w:left="420"/>
      </w:pPr>
      <w:r>
        <w:t xml:space="preserve">2. die damit zusammenhängenden beruflichen Expositionen und Expositionen der Bevölkerung zu bestimmen und</w:t>
      </w:r>
    </w:p>
    <w:p>
      <w:pPr>
        <w:ind w:left="420"/>
      </w:pPr>
      <w:r>
        <w:t xml:space="preserve">3. die gesammelten Erkenntnisse insgesamt zu bewerten.</w:t>
      </w:r>
    </w:p>
    <w:p>
      <w:r>
        <w:t xml:space="preserve">§ 53 des Atomgesetzes bleibt unberührt.</w:t>
      </w:r>
    </w:p>
    <w:p>
      <w:r>
        <w:t xml:space="preserve">(2) Sofern es sich bei der sonstigen bestehenden Expositionssituation um kontaminierte Konsumgüter oder sonstige im Wirtschaftskreislauf befindliche Waren handelt, kann die Expositionssituation nicht außer Acht gelassen werden, wenn diese Konsumgüter oder sonstigen Waren</w:t>
      </w:r>
    </w:p>
    <w:p>
      <w:pPr>
        <w:ind w:left="420"/>
      </w:pPr>
      <w:r>
        <w:t xml:space="preserve">1. künstlich erzeugte Radionuklide enthalten, deren Aktivität und spezifische Aktivität die Freigrenzen, die in einer Rechtsverordnung nach § 24 Satz 1 Nummer 10 festgelegt sind, überschreiten oder</w:t>
      </w:r>
    </w:p>
    <w:p>
      <w:pPr>
        <w:ind w:left="420"/>
      </w:pPr>
      <w:r>
        <w:t xml:space="preserve">2. natürlich vorkommende Radionuklide enthalten, die eine effektive Dosis für eine Einzelperson der Bevölkerung von mehr als 1 Millisievert im Kalenderjahr bewirken können.</w:t>
      </w:r>
    </w:p>
    <w:p>
      <w:r>
        <w:t xml:space="preserve">(3) Die zuständige Behörde kann einen oder mehrere für die sonstige bestehende Expositionssituation Verantwortliche dazu verpflichten, die Maßnahmen nach Absatz 1 durchzuführen und ihr die Ergebnisse mitzuteilen.</w:t>
      </w:r>
    </w:p>
    <w:p>
      <w:r>
        <w:rPr>
          <w:color w:val="555555"/>
          <w:sz w:val="17"/>
        </w:rPr>
        <w:t xml:space="preserve">Zitiervorschlag: § 154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