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150 StrlSchG — Verhältnis zu anderen Vorschriften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§§ 136 bis 144 und 146 bis 148 finden keine Anwendung, soweit Vorschriften des Bundesberggesetzes und der auf Grund des Bundesberggesetzes erlassenen Rechtsverordnungen die Einstellung eines Betriebes regeln.</w:t>
      </w:r>
    </w:p>
    <w:p>
      <w:r>
        <w:t xml:space="preserve">(2) Anordnungen zur Durchführung von Untersuchungen gemäß § 139 Absatz 1, ein für verbindlich erklärter Sanierungsplan gemäß § 143 Absatz 2 Satz 2, eine behördliche Sanierungsplanung nach § 144, Anordnungen zur Durchführung von Sanierungsmaßnahmen, sonstigen Maßnahmen zur Verhinderung oder Verminderung der Exposition und Nachsorgemaßnahmen gemäß § 139 Absatz 1 Nummer 3 und 5 sowie Genehmigungen gemäß § 149 schließen andere, die radioaktive Altlast betreffende Entscheidungen ein, soweit sie im Einvernehmen mit der jeweils zuständigen Behörde erlassen und in den Anordnungen die miteingeschlossenen Entscheidungen aufgeführt werden. Satz 1 gilt nicht für die Entscheidungen, die für die radioaktive Altlast nach dem Bundes-Bodenschutzgesetz getroffen werden, sowie für andere, die radioaktive Altlast betreffende Entscheidungen, wenn sie in einer behördlich für verbindlich erklärten Sanierungsplanung gemäß § 13 oder § 14 des Bundes-Bodenschutzgesetzes oder in einer Anordnung zur Sanierung gemäß § 16 des Bundes-Bodenschutzgesetzes mit eingeschlossen sind. In den Fällen nach Satz 2 stellen die nach diesem Gesetz und die nach dem Bundes-Bodenschutzgesetz zuständigen Behörden Einvernehmen her.</w:t>
      </w:r>
    </w:p>
    <w:p>
      <w:r>
        <w:rPr>
          <w:color w:val="555555"/>
          <w:sz w:val="17"/>
        </w:rPr>
        <w:t xml:space="preserve">Zitiervorschlag: § 150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