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148 StrlSchG — Sonstige bergbauliche und industrielle Hinterlassenschaften</w:t>
      </w:r>
    </w:p>
    <w:p>
      <w:r>
        <w:rPr>
          <w:color w:val="555555"/>
          <w:sz w:val="18"/>
        </w:rPr>
        <w:t xml:space="preserve">Strahlenschutzgesetz</w:t>
      </w:r>
    </w:p>
    <w:p>
      <w:r>
        <w:rPr>
          <w:color w:val="555555"/>
          <w:sz w:val="18"/>
        </w:rPr>
        <w:t xml:space="preserve">Stand: 10.06.2019 (konsolidierte Textfassung, kein amtliches Inkrafttretensdatum)</w:t>
      </w:r>
    </w:p>
    <w:p>
      <w:r>
        <w:t xml:space="preserve">Die §§ 136 bis 147 finden entsprechende Anwendung auf Grubenbaue und sonstige nicht von § 136 erfasste Hinterlassenschaften aus abgeschlossenen bergbaulichen und industriellen Betätigungen, von denen eine Exposition verursacht wird oder werden kann, die nicht außer Acht gelassen werden kann, sofern die Kontamination auf abgeschlossene menschliche Betätigungen zurückzuführen ist. Satz 1 gilt nicht für die Schachtanlage Asse II, auf die § 57b des Atomgesetzes Anwendung findet.</w:t>
      </w:r>
    </w:p>
    <w:p>
      <w:r>
        <w:rPr>
          <w:color w:val="555555"/>
          <w:sz w:val="17"/>
        </w:rPr>
        <w:t xml:space="preserve">Zitiervorschlag: § 148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https://recht.nulegal.eu/gesetze/StrlSchG/148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