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StrlSchG — Kosten; Ausgleichsanspruch</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Kosten der nach § 138 Absatz 3, § 139 Absatz 1, den §§ 143 und 144 Absatz 1 Nummer 1 angeordneten Maßnahmen tragen die zur Durchführung Verpflichteten. Bestätigen im Falle des § 138 Absatz 3 die Untersuchungen den Verdacht nicht, sind den zur Untersuchung Herangezogenen die Kosten zu erstatten, wenn sie die den Verdacht begründenden Umstände nicht zu vertreten haben. In den Fällen des § 144 Absatz 1 Nummer 2 und 3 trägt derjenige die Kosten, von dem die Erstellung eines Sanierungsplans hätte verlangt werden können.</w:t>
      </w:r>
    </w:p>
    <w:p>
      <w:r>
        <w:t xml:space="preserve">(2) Mehrere Verantwortliche haben unabhängig von ihrer Heranziehung untereinander einen Ausgleichsanspruch. Soweit nichts anderes vereinbart wird, bestimmt sich der Umfang des zu leistenden Ausgleichs danach, inwieweit der die Sanierungspflicht begründende Zustand den einzelnen Verpflichteten zuzuordnen ist; § 426 Absatz 1 Satz 2 des Bürgerlichen Gesetzbuches findet entsprechend Anwendung. Der Ausgleichsanspruch verjährt in drei Jahren; die §§ 438, 548 und 606 des Bürgerlichen Gesetzbuches sind nicht anzuwenden. Die Verjährung beginnt nach der Beitreibung der Kosten, wenn eine Behörde Maßnahmen selbst ausführt, im Übrigen nach der Beendigung der Maßnahmen durch den Verpflichteten zu dem Zeitpunkt, zu dem der Verpflichtete von der Person des Ersatzpflichtigen Kenntnis erlangt. Der Ausgleichsanspruch verjährt ohne Rücksicht auf diese Kenntnis 30 Jahre nach der Beendigung der Maßnahmen. Für Streitigkeiten steht der Rechtsweg vor den ordentlichen Gerichten offen.</w:t>
      </w:r>
    </w:p>
    <w:p>
      <w:r>
        <w:rPr>
          <w:color w:val="555555"/>
          <w:sz w:val="17"/>
        </w:rPr>
        <w:t xml:space="preserve">Zitiervorschlag: § 146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