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144 StrlSchG — Behördliche Sanierungsplanung</w:t>
      </w:r>
    </w:p>
    <w:p>
      <w:r>
        <w:rPr>
          <w:color w:val="555555"/>
          <w:sz w:val="18"/>
        </w:rPr>
        <w:t xml:space="preserve">Strahlenschutzgesetz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zuständige Behörde kann den Sanierungsplan nach § 143 Absatz 1 selbst erstellen oder ergänzen oder durch einen Sachverständigen erstellen oder ergänzen lassen, wenn</w:t>
      </w:r>
    </w:p>
    <w:p>
      <w:pPr>
        <w:ind w:left="420"/>
      </w:pPr>
      <w:r>
        <w:t xml:space="preserve">1. der Plan nicht, nicht innerhalb der von der Behörde gesetzten Frist oder fachlich unzureichend erstellt worden ist,</w:t>
      </w:r>
    </w:p>
    <w:p>
      <w:pPr>
        <w:ind w:left="420"/>
      </w:pPr>
      <w:r>
        <w:t xml:space="preserve">2. ein für die radioaktive Altlast Verantwortlicher nicht oder nicht rechtzeitig herangezogen werden kann oder</w:t>
      </w:r>
    </w:p>
    <w:p>
      <w:pPr>
        <w:ind w:left="420"/>
      </w:pPr>
      <w:r>
        <w:t xml:space="preserve">3. auf Grund der Komplexität der Altlastensituation, insbesondere auf Grund der großflächigen Ausdehnung der Kontamination oder der Anzahl der betroffenen Verpflichteten, ein koordiniertes Vorgehen erforderlich ist.</w:t>
      </w:r>
    </w:p>
    <w:p>
      <w:r>
        <w:t xml:space="preserve">Für den Sachverständigen gilt § 18 Satz 1 des Bundes-Bodenschutzgesetzes entsprechend.</w:t>
      </w:r>
    </w:p>
    <w:p>
      <w:r>
        <w:t xml:space="preserve">(2) Die zuständige Behörde kann den Sanierungsplan, auch mit Abänderungen oder mit Nebenbestimmungen, für verbindlich erklären.</w:t>
      </w:r>
    </w:p>
    <w:p>
      <w:r>
        <w:t xml:space="preserve">(3) Mit dem Sanierungsplan kann der Entwurf eines Sanierungsvertrages über die Ausführung des Plans vorgelegt werden. Der Sanierungsvertrag kann die Einbeziehung Dritter vorsehen.</w:t>
      </w:r>
    </w:p>
    <w:p>
      <w:r>
        <w:rPr>
          <w:color w:val="555555"/>
          <w:sz w:val="17"/>
        </w:rPr>
        <w:t xml:space="preserve">Zitiervorschlag: § 144 StrlSchG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https://recht.nulegal.eu/gesetze/StrlSchG/144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