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143 StrlSchG — Sanierungsplanung; Verordnungsermächtigung</w:t>
      </w:r>
    </w:p>
    <w:p>
      <w:r>
        <w:rPr>
          <w:color w:val="555555"/>
          <w:sz w:val="18"/>
        </w:rPr>
        <w:t xml:space="preserve">Strahlenschutzgesetz</w:t>
      </w:r>
    </w:p>
    <w:p>
      <w:r>
        <w:rPr>
          <w:color w:val="555555"/>
          <w:sz w:val="18"/>
        </w:rPr>
        <w:t xml:space="preserve">Stand: 10.06.2019 (konsolidierte Textfassung, kein amtliches Inkrafttretensdatum)</w:t>
      </w:r>
    </w:p>
    <w:p>
      <w:r>
        <w:t xml:space="preserve">(1) Bei radioaktiven Altlasten, bei denen wegen der Verschiedenartigkeit der erforderlichen Maßnahmen ein abgestimmtes Vorgehen notwendig ist oder von denen auf Grund von Art oder Ausdehnung der Kontamination in besonderem Maße Risiken für den Einzelnen oder die Allgemeinheit ausgehen, kann die zuständige Behörde einen für die radioaktive Altlast Verantwortlichen verpflichten, einen Sanierungsplan vorzulegen. Der Sanierungsplan hat insbesondere Folgendes zu enthalten:</w:t>
      </w:r>
    </w:p>
    <w:p>
      <w:pPr>
        <w:ind w:left="420"/>
      </w:pPr>
      <w:r>
        <w:t xml:space="preserve">1. eine Darstellung der Ergebnisse der durchgeführten Untersuchungen, von Art und Ausdehnung der radioaktiven Altlast und eine Zusammenfassung der Expositionsabschätzung,</w:t>
      </w:r>
    </w:p>
    <w:p>
      <w:pPr>
        <w:ind w:left="420"/>
      </w:pPr>
      <w:r>
        <w:t xml:space="preserve">2. Angaben über die bisherige und künftige Nutzung der zu sanierenden Grundstücke und</w:t>
      </w:r>
    </w:p>
    <w:p>
      <w:pPr>
        <w:ind w:left="420"/>
      </w:pPr>
      <w:r>
        <w:t xml:space="preserve">3. die Darstellung der vorgesehenen Sanierungsmaßnahmen, sonstigen Maßnahmen zur Verhinderung oder Verminderung der Exposition und Nachsorgemaßnahmen.</w:t>
      </w:r>
    </w:p>
    <w:p>
      <w:r>
        <w:t xml:space="preserve">Die Bundesregierung wird ermächtigt, durch Rechtsverordnung mit Zustimmung des Bundesrates Vorschriften über den Inhalt von Sanierungsplänen zu erlassen.</w:t>
      </w:r>
    </w:p>
    <w:p>
      <w:r>
        <w:t xml:space="preserve">(2) § 136 Absatz 3 und 4 und § 139 Absatz 2 dieses Gesetzes sowie § 13 Absatz 2 und 4 und § 18 Satz 1 des Bundes-Bodenschutzgesetzes gelten entsprechend. Die zuständige Behörde kann den Sanierungsplan, auch mit Abänderungen oder mit Nebenbestimmungen, für verbindlich erklären.</w:t>
      </w:r>
    </w:p>
    <w:p>
      <w:r>
        <w:rPr>
          <w:color w:val="555555"/>
          <w:sz w:val="17"/>
        </w:rPr>
        <w:t xml:space="preserve">Zitiervorschlag: § 143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