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142 StrlSchG — Information der Öffentlichkeit; Erfassung</w:t>
      </w:r>
    </w:p>
    <w:p>
      <w:r>
        <w:rPr>
          <w:color w:val="555555"/>
          <w:sz w:val="18"/>
        </w:rPr>
        <w:t xml:space="preserve">Strahlenschutzgesetz</w:t>
      </w:r>
    </w:p>
    <w:p>
      <w:r>
        <w:rPr>
          <w:color w:val="555555"/>
          <w:sz w:val="18"/>
        </w:rPr>
        <w:t xml:space="preserve">Stand: 10.06.2019 (konsolidierte Textfassung, kein amtliches Inkrafttretensdatum)</w:t>
      </w:r>
    </w:p>
    <w:p>
      <w:r>
        <w:t xml:space="preserve">(1) Die zuständige Behörde informiert die betroffene Öffentlichkeit über die radioaktive Altlast und die von ihr ausgehende Exposition sowie über die getroffenen Sanierungsmaßnahmen, sonstigen Maßnahmen zur Verhinderung oder Verminderung der Exposition und Nachsorgemaßnahmen.</w:t>
      </w:r>
    </w:p>
    <w:p>
      <w:r>
        <w:t xml:space="preserve">(2) Die zuständigen Behörden erfassen die festgestellten radioaktiven Altlasten und altlastverdächtigen Flächen.</w:t>
      </w:r>
    </w:p>
    <w:p>
      <w:r>
        <w:rPr>
          <w:color w:val="555555"/>
          <w:sz w:val="17"/>
        </w:rPr>
        <w:t xml:space="preserve">Zitiervorschlag: § 142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