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140 StrlSchG — Weitere Pflichten im Zusammenhang mit der Durchführung von Maßnahmen</w:t>
      </w:r>
    </w:p>
    <w:p>
      <w:r>
        <w:rPr>
          <w:color w:val="555555"/>
          <w:sz w:val="18"/>
        </w:rPr>
        <w:t xml:space="preserve">Strahlenschutzgesetz</w:t>
      </w:r>
    </w:p>
    <w:p>
      <w:r>
        <w:rPr>
          <w:color w:val="555555"/>
          <w:sz w:val="18"/>
        </w:rPr>
        <w:t xml:space="preserve">Stand: 10.06.2019 (konsolidierte Textfassung, kein amtliches Inkrafttretensdatum)</w:t>
      </w:r>
    </w:p>
    <w:p>
      <w:r>
        <w:t xml:space="preserve">(1) Der für die radioaktive Altlast Verantwortliche hat der zuständigen Behörde unverzüglich den Beginn und den Abschluss der Maßnahmen mitzuteilen und geeignete Nachweise über die Wirksamkeit der durchgeführten Maßnahmen vorzulegen.</w:t>
      </w:r>
    </w:p>
    <w:p>
      <w:r>
        <w:t xml:space="preserve">(2) Wer nach Durchführung von Maßnahmen nach § 139 Absatz 1 Satz 1 Nummer 3 und 5 beabsichtigt, Veränderungen an dem betroffenen Grundstück vorzunehmen, insbesondere Änderungen der Nutzung sowie das Aufbringen oder Entfernen von Stoffen, hat dies vier Wochen vor dem beabsichtigten Beginn der zuständigen Behörde mitzuteilen und nachzuweisen, dass infolge der Veränderung die Exposition nicht erhöht wird.</w:t>
      </w:r>
    </w:p>
    <w:p>
      <w:r>
        <w:rPr>
          <w:color w:val="555555"/>
          <w:sz w:val="17"/>
        </w:rPr>
        <w:t xml:space="preserve">Zitiervorschlag: § 140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