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StrlSchG — Behördliche Anordnungsbefugnisse für Maßnahmen;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Liegt eine radioaktive Altlast vor, so kann die zuständige Behörde einen der für die radioaktive Altlast Verantwortlichen verpflichten,</w:t>
      </w:r>
    </w:p>
    <w:p>
      <w:pPr>
        <w:ind w:left="420"/>
      </w:pPr>
      <w:r>
        <w:t xml:space="preserve">1. Untersuchungen zu Art und Ausdehnung der radioaktiven Altlast sowie zur Exposition und zu möglichen Sanierungs- und sonstigen Maßnahmen zur Verhinderung oder Verminderung der Exposition durchzuführen,</w:t>
      </w:r>
    </w:p>
    <w:p>
      <w:pPr>
        <w:ind w:left="420"/>
      </w:pPr>
      <w:r>
        <w:t xml:space="preserve">2. der zuständigen Behörde das Ergebnis dieser Untersuchungen mitzuteilen,</w:t>
      </w:r>
    </w:p>
    <w:p>
      <w:pPr>
        <w:ind w:left="420"/>
      </w:pPr>
      <w:r>
        <w:t xml:space="preserve">3. durch bestimmte Sanierungsmaßnahmen, sonstige Maßnahmen zur Verhinderung oder Verminderung der Exposition oder Nachsorgemaßnahmen dafür zu sorgen, dass der Referenzwert nach § 136 Absatz 1 unterschritten wird,</w:t>
      </w:r>
    </w:p>
    <w:p>
      <w:pPr>
        <w:ind w:left="420"/>
      </w:pPr>
      <w:r>
        <w:t xml:space="preserve">4. die Exposition der Bevölkerung infolge der Sanierungsarbeiten zu überwachen,</w:t>
      </w:r>
    </w:p>
    <w:p>
      <w:pPr>
        <w:ind w:left="420"/>
      </w:pPr>
      <w:r>
        <w:t xml:space="preserve">5. auch nach Durchführung von Maßnahmen nach Nummer 3 weitere Maßnahmen durchzuführen, soweit dies zur Sicherung des Ziels von Sanierungs- oder sonstigen Maßnahmen zur Verhinderung oder Verminderung der Exposition notwendig ist, oder</w:t>
      </w:r>
    </w:p>
    <w:p>
      <w:pPr>
        <w:ind w:left="420"/>
      </w:pPr>
      <w:r>
        <w:t xml:space="preserve">6. die von der radioaktiven Altlast ausgehenden, Radionuklide enthaltenden Emissionen und Immissionen, einschließlich der Direktstrahlung, zu überwachen.</w:t>
      </w:r>
    </w:p>
    <w:p>
      <w:r>
        <w:t xml:space="preserve">§ 13 Absatz 2 und § 18 Satz 1 des Bundes-Bodenschutzgesetzes gelten entsprechend.</w:t>
      </w:r>
    </w:p>
    <w:p>
      <w:r>
        <w:t xml:space="preserve">(2) Die nach Absatz 1 Satz 1 Nummer 3 und 5 durchzuführenden Maßnahmen sollen auf wissenschaftlich begründeten, technisch und wirtschaftlich durchführbaren Verfahren beruhen, die in der praktischen Anwendung erprobt und bewährt sind oder die ihre praktische Eignung als gesichert erscheinen lassen. Art, Umfang und Dauer der Maßnahmen sind zu optimieren.</w:t>
      </w:r>
    </w:p>
    <w:p>
      <w:r>
        <w:t xml:space="preserve">(3) Wird während der Sanierungsmaßnahmen vorübergehend die Exposition erhöht, so soll diese einen Richtwert für die effektive Dosis von 6 Millisievert im Kalenderjahr für Einzelpersonen der Bevölkerung nicht überschreiten. Dabei soll infolge von Einleitungen in oberirdische Gewässer der Richtwert für die effektive Dosis von 1 Millisievert im Kalenderjahr für Einzelpersonen der Bevölkerung nicht überschritten werden.</w:t>
      </w:r>
    </w:p>
    <w:p>
      <w:r>
        <w:t xml:space="preserve">(4) Die Bundesregierung wird ermächtigt, durch Rechtsverordnung mit Zustimmung des Bundesrates</w:t>
      </w:r>
    </w:p>
    <w:p>
      <w:pPr>
        <w:ind w:left="420"/>
      </w:pPr>
      <w:r>
        <w:t xml:space="preserve">1. Vorgaben zur Emissions- und Immissionsüberwachung nach Absatz 1 Satz 1 Nummer 6 zu machen und</w:t>
      </w:r>
    </w:p>
    <w:p>
      <w:pPr>
        <w:ind w:left="420"/>
      </w:pPr>
      <w:r>
        <w:t xml:space="preserve">2. Anforderungen an die Optimierung der Maßnahmen nach Absatz 2 Satz 2 festzulegen.</w:t>
      </w:r>
    </w:p>
    <w:p>
      <w:r>
        <w:rPr>
          <w:color w:val="555555"/>
          <w:sz w:val="17"/>
        </w:rPr>
        <w:t xml:space="preserve">Zitiervorschlag: § 139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