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StrlSchG — Verdacht auf radioaktive Altlasten</w:t>
      </w:r>
    </w:p>
    <w:p>
      <w:r>
        <w:rPr>
          <w:color w:val="555555"/>
          <w:sz w:val="18"/>
        </w:rPr>
        <w:t xml:space="preserve">Strahlenschutzgesetz</w:t>
      </w:r>
    </w:p>
    <w:p>
      <w:r>
        <w:rPr>
          <w:color w:val="555555"/>
          <w:sz w:val="18"/>
        </w:rPr>
        <w:t xml:space="preserve">Stand: 10.06.2019 (konsolidierte Textfassung, kein amtliches Inkrafttretensdatum)</w:t>
      </w:r>
    </w:p>
    <w:p>
      <w:r>
        <w:t xml:space="preserve">(1) Liegen einer der in § 137 genannten Personen Anhaltspunkte für das Vorliegen einer radioaktiven Altlast vor, so hat sie dies der zuständigen Behörde unverzüglich zu melden.</w:t>
      </w:r>
    </w:p>
    <w:p>
      <w:r>
        <w:t xml:space="preserve">(2) Liegen der zuständigen Behörde Anhaltspunkte für das Vorliegen einer radioaktiven Altlast vor, so soll sie zur Ermittlung des Sachverhalts die geeigneten Maßnahmen treffen.</w:t>
      </w:r>
    </w:p>
    <w:p>
      <w:r>
        <w:t xml:space="preserve">(3) Besteht ein hinreichender Verdacht für das Vorliegen einer radioaktiven Altlast, so kann die zuständige Behörde die in § 137 genannten Personen verpflichten, die erforderlichen Untersuchungen durchzuführen, insbesondere zu Art, Höhe und Ausdehnung der Kontamination und zur Exposition. Ein hinreichender Verdacht liegt in der Regel vor, wenn Untersuchungen eine Überschreitung der in der Rechtsverordnung nach § 136 Absatz 2 festgelegten Prüfwerte ergeben haben oder erwarten lassen oder wenn es auf Grund sonstiger Feststellungen überwiegend wahrscheinlich ist, dass eine radioaktive Altlast vorliegt.</w:t>
      </w:r>
    </w:p>
    <w:p>
      <w:r>
        <w:rPr>
          <w:color w:val="555555"/>
          <w:sz w:val="17"/>
        </w:rPr>
        <w:t xml:space="preserve">Zitiervorschlag: § 138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