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136 StrlSchG — Begriff der radioaktiven Altlast; Verordnungsermächtigung</w:t>
      </w:r>
    </w:p>
    <w:p>
      <w:r>
        <w:rPr>
          <w:color w:val="555555"/>
          <w:sz w:val="18"/>
        </w:rPr>
        <w:t xml:space="preserve">Strahlenschutzgesetz</w:t>
      </w:r>
    </w:p>
    <w:p>
      <w:r>
        <w:rPr>
          <w:color w:val="555555"/>
          <w:sz w:val="18"/>
        </w:rPr>
        <w:t xml:space="preserve">Stand: 10.06.2019 (konsolidierte Textfassung, kein amtliches Inkrafttretensdatum)</w:t>
      </w:r>
    </w:p>
    <w:p>
      <w:r>
        <w:t xml:space="preserve">(1) Radioaktive Altlasten sind durch abgeschlossene menschliche Betätigung kontaminierte Grundstücke, Teile von Grundstücken, Gebäude oder Gewässer, wenn von der Kontamination eine Exposition verursacht wird oder werden kann, durch die für Einzelpersonen der Bevölkerung der Referenzwert der effektiven Dosis von 1 Millisievert im Kalenderjahr überschritten wird.</w:t>
      </w:r>
    </w:p>
    <w:p>
      <w:r>
        <w:t xml:space="preserve">(2) Die Bundesregierung wird ermächtigt, durch Rechtsverordnung mit Zustimmung des Bundesrates die Anforderungen für die Ermittlung der Exposition und Prüfwerte, bei deren Unterschreitung keine radioaktive Altlast vorliegt, festzulegen.</w:t>
      </w:r>
    </w:p>
    <w:p>
      <w:r>
        <w:t xml:space="preserve">(3) Bei der Ermittlung der Exposition zur Bestimmung einer radioaktiven Altlast ist die planungsrechtlich zulässige Nutzung der Grundstücke und ihrer Umgebung sowie das sich daraus ergebende Schutzbedürfnis zu beachten. Fehlen planungsrechtliche Festsetzungen, so ist die Prägung des Gebiets unter Berücksichtigung der absehbaren Entwicklung zugrunde zu legen. Liegen auf Teilflächen gegenüber der nach den Sätzen 1 oder 2 zugrunde zu legenden Nutzung abweichende Nutzungen vor, die zu höheren Expositionen führen können, sind diese zu berücksichtigen.</w:t>
      </w:r>
    </w:p>
    <w:p>
      <w:r>
        <w:t xml:space="preserve">(4) Besteht die Besorgnis, dass eine radioaktive Altlast einen Grundwasserleiter beeinflusst, ist abweichend von Absatz 3 grundsätzlich eine Nutzung des Grundwassers zu unterstellen.</w:t>
      </w:r>
    </w:p>
    <w:p>
      <w:r>
        <w:rPr>
          <w:color w:val="555555"/>
          <w:sz w:val="17"/>
        </w:rPr>
        <w:t xml:space="preserve">Zitiervorschlag: § 136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