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StrlSchG — Maßnahmen;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Der zur Bestimmung der spezifischen Aktivität Verpflichtete darf Bauprodukte, die die in Anlage 9 genannten mineralischen Primärrohstoffe oder Rückstände enthalten, uneingeschränkt nur in Verkehr bringen, wenn er nachweist, dass die voraussichtliche Exposition durch von dem Bauprodukt ausgehende Strahlung den Referenzwert nicht überschreitet. Der Referenzwert gilt als eingehalten, wenn der gemäß der Rechtsverordnung nach Satz 3 ermittelte Aktivitätsindex die dort festgelegten Werte nicht überschreitet. Die Bundesregierung wird ermächtigt, durch Rechtsverordnung mit Zustimmung des Bundesrates festzulegen, wie der Aktivitätsindex zu berechnen ist und welche Werte der Aktivitätsindex nicht überschreiten darf.</w:t>
      </w:r>
    </w:p>
    <w:p>
      <w:r>
        <w:t xml:space="preserve">(2) Überschreitet die voraussichtlich von einem Bauprodukt, das die in Anlage 9 genannten mineralischen Primärrohstoffe oder Rückstände enthält, ausgehende effektive Dosis den Referenzwert, hat derjenige, der das Bauprodukt herstellt oder ins Inland verbringt, die zuständige Behörde unverzüglich zu informieren.</w:t>
      </w:r>
    </w:p>
    <w:p>
      <w:r>
        <w:t xml:space="preserve">(3) Die zuständige Behörde kann innerhalb eines Monats nach Eingang der Information</w:t>
      </w:r>
    </w:p>
    <w:p>
      <w:pPr>
        <w:ind w:left="420"/>
      </w:pPr>
      <w:r>
        <w:t xml:space="preserve">1. die Maßnahmen anordnen, die zur Einhaltung des Referenzwerts bei Verwendung des Bauprodukts zur Herstellung von Gebäuden mit Aufenthaltsräumen erforderlich sind, oder</w:t>
      </w:r>
    </w:p>
    <w:p>
      <w:pPr>
        <w:ind w:left="420"/>
      </w:pPr>
      <w:r>
        <w:t xml:space="preserve">2. die Verwendung des Bauprodukts zur Herstellung von Gebäuden mit Aufenthaltsräumen untersagen, wenn der Referenzwert nicht eingehalten werden kann.</w:t>
      </w:r>
    </w:p>
    <w:p>
      <w:r>
        <w:t xml:space="preserve">Das Bauprodukt darf erst nach Ablauf der Monatsfrist oder nach Maßgabe der behördlichen Entscheidung in Verkehr gebracht werden.</w:t>
      </w:r>
    </w:p>
    <w:p>
      <w:r>
        <w:t xml:space="preserve">(4) Der Verpflichtete hat den Bauherrn, den Entwurfsverfasser und den Unternehmer im Sinne der jeweils anwendbaren Landesbauordnungen hinsichtlich der getroffenen Einschränkungen zu informieren. Soweit diese Personen nicht bekannt sind, ist das Bauprodukt mit Begleitpapieren zu versehen, aus denen die Verwendungseinschränkungen hervorgehen.</w:t>
      </w:r>
    </w:p>
    <w:p>
      <w:r>
        <w:rPr>
          <w:color w:val="555555"/>
          <w:sz w:val="17"/>
        </w:rPr>
        <w:t xml:space="preserve">Zitiervorschlag: § 135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