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StrlSchG — Bestimmung der spezifischen Aktivität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Bauprodukte, die die in Anlage 9 genannten mineralischen Primärrohstoffe oder Rückstände enthalten, herstellt oder ins Inland verbringt, muss vor dem Inverkehrbringen der Bauprodukte die spezifische Aktivität der Radionuklide Radium-226, Thorium-232 oder seines Zerfallsprodukts Radium-228 und Kalium-40 bestimmen.</w:t>
      </w:r>
    </w:p>
    <w:p>
      <w:r>
        <w:t xml:space="preserve">(2) Die Ergebnisse der Bestimmung der nach Absatz 1 bestimmten spezifischen Aktivitäten sind aufzuzeichnen und fünf Jahre lang aufzubewahren.</w:t>
      </w:r>
    </w:p>
    <w:p>
      <w:r>
        <w:t xml:space="preserve">(3) Die zuständige Behörde kann verlangen, dass sie von dem zur Bestimmung der spezifischen Aktivität Verpflichteten über die Ergebnisse der Bestimmung und den gemäß der Rechtsverordnung nach § 135 Absatz 1 Satz 3 ermittelten Aktivitätsindex sowie über andere in der Rechtsverordnung genannte für die Berechnung des Aktivitätsindex verwendete Größen unterrichtet wird.</w:t>
      </w:r>
    </w:p>
    <w:p>
      <w:r>
        <w:rPr>
          <w:color w:val="555555"/>
          <w:sz w:val="17"/>
        </w:rPr>
        <w:t xml:space="preserve">Zitiervorschlag: § 134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