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StrlSchG —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Die Bundesregierung wird ermächtigt, durch Rechtsverordnung mit Zustimmung des Bundesrates Anforderungen an den Schutz vor Radon an Arbeitsplätzen festzulegen. In der Rechtsverordnung kann insbesondere festgelegt werden,</w:t>
      </w:r>
    </w:p>
    <w:p>
      <w:pPr>
        <w:ind w:left="420"/>
      </w:pPr>
      <w:r>
        <w:t xml:space="preserve">1. in welchen Fällen und auf welche Weise mehrere Arbeitsorte als Arbeitsplatz im Sinne dieses Abschnitts zu betrachten sind,</w:t>
      </w:r>
    </w:p>
    <w:p>
      <w:pPr>
        <w:ind w:left="420"/>
      </w:pPr>
      <w:r>
        <w:t xml:space="preserve">2. wie die Radon-222-Aktivitätskonzentration an Arbeitsplätzen über das Kalenderjahr zu mitteln ist,</w:t>
      </w:r>
    </w:p>
    <w:p>
      <w:pPr>
        <w:ind w:left="420"/>
      </w:pPr>
      <w:r>
        <w:t xml:space="preserve">3. wie die Messung der Radon-222-Aktivitätskonzentration in der Luft an Arbeitsplätzen nach den §§ 127 und 128 zu erfolgen hat, dass sie von einer anerkannten Stelle auszuführen ist und welche Anforderungen an die Messung und an die Stelle, die die Messung ausführt, sowie an das Verfahren der Anerkennung dieser Stelle zu stellen sind,</w:t>
      </w:r>
    </w:p>
    <w:p>
      <w:pPr>
        <w:ind w:left="420"/>
      </w:pPr>
      <w:r>
        <w:t xml:space="preserve">4. welche Informationen im Zusammenhang mit den Messungen nach den §§ 127 und 128 der für den Arbeitsplatz Verantwortliche der nach einer Rechtsverordnung nach Nummer 3 anerkannten Stelle zur Verfügung zu stellen hat, dass und auf welche Art und Weise die anerkannte Stelle die Informationen, einschließlich der Messergebnisse, dem Bundesamt für Strahlenschutz zur Erfüllung seiner Amtsaufgaben übermittelt und auf welche Weise das Bundesamt für Strahlenschutz die Informationen zur Erfüllung seiner Amtsaufgaben verarbeitet,</w:t>
      </w:r>
    </w:p>
    <w:p>
      <w:pPr>
        <w:ind w:left="420"/>
      </w:pPr>
      <w:r>
        <w:t xml:space="preserve">5. wie die arbeitsplatzbezogene Abschätzung der Radon-222-Exposition, der potentiellen Alphaenergie-Exposition oder der Körperdosis durch die Exposition durch Radon nach § 130 Absatz 1 durchzuführen ist und welche Anforderungen an das Verfahren der Abschätzung und an die Person, die die Abschätzung durchführt, zu stellen sind,</w:t>
      </w:r>
    </w:p>
    <w:p>
      <w:pPr>
        <w:ind w:left="420"/>
      </w:pPr>
      <w:r>
        <w:t xml:space="preserve">6. dass die für Teil 2 dieses Gesetzes geltenden sowie die in § 76 Absatz 1 und § 79 aufgezählten Maßnahmen und Anforderungen des beruflichen Strahlenschutzes zum Schutz der Arbeitskräfte auch im Falle des § 130 Absatz 3 anzuwenden sind,</w:t>
      </w:r>
    </w:p>
    <w:p>
      <w:pPr>
        <w:ind w:left="420"/>
      </w:pPr>
      <w:r>
        <w:t xml:space="preserve">7. wie die Radon-222-Exposition, die potentielle Alphaenergie-Exposition oder die Körperdosis im Falle des § 131 Absatz 1 Nummer 2 zu ermitteln ist und welche Anforderungen an das Verfahren der Ermittlung zu stellen sind,</w:t>
      </w:r>
    </w:p>
    <w:p>
      <w:pPr>
        <w:ind w:left="420"/>
      </w:pPr>
      <w:r>
        <w:t xml:space="preserve">8. dass die Ermittlung nach § 131 Absatz 1 Nummer 2 durch eine nach § 169 behördlich bestimmte Messstelle zu erfolgen hat und welche Informationen der Messstelle für die Ermittlung zur Verfügung zu stellen sind und</w:t>
      </w:r>
    </w:p>
    <w:p>
      <w:pPr>
        <w:ind w:left="420"/>
      </w:pPr>
      <w:r>
        <w:t xml:space="preserve">9. welche Aufzeichnungs-, Aufbewahrungs-, Mitteilungs- und Vorlagepflichten im Zusammenhang mit den Pflichten nach § 131 und nach den Nummern 1 bis 8 bestehen.</w:t>
      </w:r>
    </w:p>
    <w:p>
      <w:r>
        <w:rPr>
          <w:color w:val="555555"/>
          <w:sz w:val="17"/>
        </w:rPr>
        <w:t xml:space="preserve">Zitiervorschlag: § 132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