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131a StrlSchG — Aufgabe oder Änderung des angemeldeten Arbeitsplatzes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Der für den Arbeitsplatz Verantwortliche, der einen Arbeitsplatz nach § 129 angemeldet hat, hat der zuständigen Behörde folgende Änderungen unverzüglich mitzuteilen:</w:t>
      </w:r>
    </w:p>
    <w:p>
      <w:pPr>
        <w:ind w:left="420"/>
      </w:pPr>
      <w:r>
        <w:t xml:space="preserve">1. die Aufgabe des Arbeitsplatzes,</w:t>
      </w:r>
    </w:p>
    <w:p>
      <w:pPr>
        <w:ind w:left="420"/>
      </w:pPr>
      <w:r>
        <w:t xml:space="preserve">2. Änderungen, die nachweislich dazu führen, dass die Radon-222-Aktivitätskonzentration in der Luft an dem angemeldeten Arbeitsplatz den Referenzwert nach § 126 nicht länger überschreitet; der Nachweis ist durch Messung entsprechend § 127 Absatz 1 zu erbringen,</w:t>
      </w:r>
    </w:p>
    <w:p>
      <w:pPr>
        <w:ind w:left="420"/>
      </w:pPr>
      <w:r>
        <w:t xml:space="preserve">3. Änderungen, die nachweislich dazu führen, dass eine auf den angemeldeten Arbeitsplatz bezogene Abschätzung der Exposition entsprechend § 130 Absatz 1 ergibt, dass die effektive Dosis 6 Millisievert im Kalenderjahr nicht länger überschreiten kann.</w:t>
      </w:r>
    </w:p>
    <w:p>
      <w:r>
        <w:rPr>
          <w:color w:val="555555"/>
          <w:sz w:val="17"/>
        </w:rPr>
        <w:t xml:space="preserve">Zitiervorschlag: § 131a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