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StrlSchG — Beruflicher Strahlenschutz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Erfordert das Ergebnis der Abschätzung nach § 130 Absatz 3 die Einhaltung von Anforderungen des beruflichen Strahlenschutzes, so hat der zur Abschätzung Verpflichtete</w:t>
      </w:r>
    </w:p>
    <w:p>
      <w:pPr>
        <w:ind w:left="420"/>
      </w:pPr>
      <w:r>
        <w:t xml:space="preserve">1. geeignete Maßnahmen zu treffen, um unter Berücksichtigung aller Umstände des Einzelfalls die Exposition durch Radon so gering wie möglich zu halten,</w:t>
      </w:r>
    </w:p>
    <w:p>
      <w:pPr>
        <w:ind w:left="420"/>
      </w:pPr>
      <w:r>
        <w:t xml:space="preserve">2. die Radon-222-Exposition, die potentielle Alphaenergie-Exposition oder die Körperdosis der an anmeldungsbedürftigen Arbeitsplätzen beschäftigten Arbeitskräfte auf geeignete Weise durch Messung zu ermitteln,</w:t>
      </w:r>
    </w:p>
    <w:p>
      <w:pPr>
        <w:ind w:left="420"/>
      </w:pPr>
      <w:r>
        <w:t xml:space="preserve">3. dafür zu sorgen, dass die Dosisgrenzwerte nicht überschritten werden und die Körperdosen nach § 166 ermittelt werden; die Regelungen und Grenzwerte der §§ 77 und 78 Absatz 1 und 3 Satz 1 und 3 gelten insoweit entsprechend,</w:t>
      </w:r>
    </w:p>
    <w:p>
      <w:pPr>
        <w:ind w:left="420"/>
      </w:pPr>
      <w:r>
        <w:t xml:space="preserve">4. dafür zu sorgen, dass die Anforderungen des beruflichen Strahlenschutzes nach der nach § 132 Satz 2 Nummer 6 erlassenen Rechtsverordnung eingehalten werden.</w:t>
      </w:r>
    </w:p>
    <w:p>
      <w:r>
        <w:t xml:space="preserve">(2) Handelt es sich bei dem Verpflichteten um eine juristische Person oder um eine rechtsfähige Personengesellschaft, so gilt § 69 Absatz 2 entsprechend.</w:t>
      </w:r>
    </w:p>
    <w:p>
      <w:r>
        <w:rPr>
          <w:color w:val="555555"/>
          <w:sz w:val="17"/>
        </w:rPr>
        <w:t xml:space="preserve">Zitiervorschlag: § 131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