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StrlSchG — Abschätzung der Exposition</w:t>
      </w:r>
    </w:p>
    <w:p>
      <w:r>
        <w:rPr>
          <w:color w:val="555555"/>
          <w:sz w:val="18"/>
        </w:rPr>
        <w:t xml:space="preserve">Strahlenschutzgesetz</w:t>
      </w:r>
    </w:p>
    <w:p>
      <w:r>
        <w:rPr>
          <w:color w:val="555555"/>
          <w:sz w:val="18"/>
        </w:rPr>
        <w:t xml:space="preserve">Stand: 10.06.2019 (konsolidierte Textfassung, kein amtliches Inkrafttretensdatum)</w:t>
      </w:r>
    </w:p>
    <w:p>
      <w:r>
        <w:t xml:space="preserve">(1) Der zur Anmeldung Verpflichtete hat innerhalb von sechs Monaten nach der Anmeldung eine auf den Arbeitsplatz bezogene Abschätzung der Radon-222-Exposition, der potentiellen Alphaenergie-Exposition oder der Körperdosis durch die Exposition durch Radon durchzuführen; im Falle der Anmeldung durch den Dritten nach § 129 Absatz 3 Satz 1 ist die Abschätzung bezogen auf die gesamte Betätigung durchzuführen. Die Abschätzung ist unverzüglich zu wiederholen, sobald der Arbeitsplatz so verändert wird, dass eine höhere Exposition auftreten kann. Die Ergebnisse der Abschätzungen sind aufzuzeichnen und der zuständigen Behörde unverzüglich vorzulegen. Die Ergebnisse der Abschätzung sind fünf Jahre lang aufzubewahren.</w:t>
      </w:r>
    </w:p>
    <w:p>
      <w:r>
        <w:t xml:space="preserve">(2) Ergibt die Abschätzung, dass die effektive Dosis 6 Millisievert im Kalenderjahr nicht überschreiten kann, so hat der zur Abschätzung Verpflichtete die Exposition durch Radon regelmäßig zu überprüfen. Er hat die Exposition durch geeignete Strahlenschutzmaßnahmen auf der Grundlage von Vorschriften des allgemeinen Arbeitsschutzes und unter Berücksichtigung aller Umstände des Einzelfalls so gering wie möglich zu halten. Die zuständige Behörde kann die Vorlage entsprechender Nachweise verlangen.</w:t>
      </w:r>
    </w:p>
    <w:p>
      <w:r>
        <w:t xml:space="preserve">(3) Ergibt die Abschätzung, dass die effektive Dosis 6 Millisievert im Kalenderjahr überschreiten kann, so sind Anforderungen des beruflichen Strahlenschutzes nach Maßgabe des § 131 und der Rechtsverordnung nach § 132 Satz 2 Nummer 6 zu erfüllen.</w:t>
      </w:r>
    </w:p>
    <w:p>
      <w:r>
        <w:rPr>
          <w:color w:val="555555"/>
          <w:sz w:val="17"/>
        </w:rPr>
        <w:t xml:space="preserve">Zitiervorschlag: § 130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