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128 StrlSchG — Reduzierung der Radonkonzentration</w:t>
      </w:r>
    </w:p>
    <w:p>
      <w:r>
        <w:rPr>
          <w:color w:val="555555"/>
          <w:sz w:val="18"/>
        </w:rPr>
        <w:t xml:space="preserve">Strahlenschutzgesetz</w:t>
      </w:r>
    </w:p>
    <w:p>
      <w:r>
        <w:rPr>
          <w:color w:val="555555"/>
          <w:sz w:val="18"/>
        </w:rPr>
        <w:t xml:space="preserve">Stand: 05.06.2021 (konsolidierte Textfassung, kein amtliches Inkrafttretensdatum)</w:t>
      </w:r>
    </w:p>
    <w:p>
      <w:r>
        <w:t xml:space="preserve">(1) Überschreitet die Radon-222-Aktivitätskonzentration in der Luft an einem Arbeitsplatz den Referenzwert nach § 126, so hat der für den Arbeitsplatz Verantwortliche unverzüglich Maßnahmen zur Reduzierung der Radon-222-Aktivitätskonzentration in der Luft zu ergreifen.</w:t>
      </w:r>
    </w:p>
    <w:p>
      <w:r>
        <w:t xml:space="preserve">(2) Der für den Arbeitsplatz Verantwortliche hat den Erfolg der von ihm getroffenen Maßnahmen durch eine Messung der Radon-222-Aktivitätskonzentration in der Luft zu überprüfen; die Messung muss innerhalb von 30 Monaten erfolgt sein, nachdem die Überschreitung des Referenzwerts bekannt geworden ist. Die zuständige Behörde kann im Einzelfall die Frist nach Satz 1 verlängern, wenn die Frist auf Grund von Umständen, die von dem für den Arbeitsplatz Verantwortlichen nicht zu vertreten sind, nicht eingehalten werden kann. Der für den Arbeitsplatz Verantwortliche hat das Ergebnis der Messung unverzüglich aufzuzeichnen. Er hat die Aufzeichnungen bis zur Beendigung der Betätigung oder bis zum Vorliegen neuer Messergebnisse aufzubewahren und der zuständigen Behörde auf Verlangen vorzulegen.</w:t>
      </w:r>
    </w:p>
    <w:p>
      <w:r>
        <w:t xml:space="preserve">(3) Im Falle der Verantwortlichkeit nach § 127 Absatz 2 Nummer 1 hat der für den Arbeitsplatz Verantwortliche die betroffenen Arbeitskräfte und den Betriebsrat oder den Personalrat unverzüglich über die Ergebnisse der Messungen zu unterrichten. Im Falle der Verantwortlichkeit nach § 127 Absatz 2 Nummer 2 hat der für den Arbeitsplatz Verantwortliche unverzüglich den Dritten zu unterrichten; die Pflicht nach Satz 1 gilt entsprechend für den Dritten.</w:t>
      </w:r>
    </w:p>
    <w:p>
      <w:r>
        <w:t xml:space="preserve">(4) Der für den Arbeitsplatz Verantwortliche muss keine Maßnahmen zur Reduzierung der Radon-222-Aktivitätkonzentration in der Luft ergreifen, wenn die Maßnahmen nicht oder nur mit unverhältnismäßig hohem Aufwand möglich sind, und zwar aus besonderen Gründen, die sich ergeben</w:t>
      </w:r>
    </w:p>
    <w:p>
      <w:pPr>
        <w:ind w:left="420"/>
      </w:pPr>
      <w:r>
        <w:t xml:space="preserve">1. aus überwiegenden Belangen des Arbeits- oder Gesundheitsschutzes oder</w:t>
      </w:r>
    </w:p>
    <w:p>
      <w:pPr>
        <w:ind w:left="420"/>
      </w:pPr>
      <w:r>
        <w:t xml:space="preserve">2. aus der Natur des Arbeitsplatzes.</w:t>
      </w:r>
    </w:p>
    <w:p>
      <w:r>
        <w:t xml:space="preserve">Im Falle der Verantwortlichkeit nach § 127 Absatz 2 Nummer 2 hat der für den Arbeitsplatz Verantwortliche den Dritten unverzüglich nach Bekanntwerden der Gründe darüber zu unterrichten.</w:t>
      </w:r>
    </w:p>
    <w:p>
      <w:r>
        <w:rPr>
          <w:color w:val="555555"/>
          <w:sz w:val="17"/>
        </w:rPr>
        <w:t xml:space="preserve">Zitiervorschlag: § 128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