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127 StrlSchG — Messung der Radonkonzentration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05.06.2021 (konsolidierte Textfassung, kein amtliches Inkrafttretensdatum)</w:t>
      </w:r>
    </w:p>
    <w:p>
      <w:r>
        <w:t xml:space="preserve">(1) Wer für einen Arbeitsplatz in einem Innenraum verantwortlich ist, hat innerhalb der Frist nach Satz 2 Messungen der Radon-222-Aktivitätskonzentration in der Luft zu veranlassen, wenn</w:t>
      </w:r>
    </w:p>
    <w:p>
      <w:pPr>
        <w:ind w:left="420"/>
      </w:pPr>
      <w:r>
        <w:t xml:space="preserve">1. sich der Arbeitsplatz im Erd- oder Kellergeschoss eines Gebäudes befindet, das in einem nach § 121 Absatz 1 Satz 1 festgelegten Gebiet liegt, oder</w:t>
      </w:r>
    </w:p>
    <w:p>
      <w:pPr>
        <w:ind w:left="420"/>
      </w:pPr>
      <w:r>
        <w:t xml:space="preserve">2. die Art des Arbeitsplatzes einem der Arbeitsfelder nach Anlage 8 zuzuordnen ist.</w:t>
      </w:r>
    </w:p>
    <w:p>
      <w:r>
        <w:t xml:space="preserve">Im Falle des Satzes 1 Nummer 1 muss die Messung innerhalb von 18 Monaten nach der Festlegung des Gebiets und Aufnahme der beruflichen Betätigung an dem Arbeitsplatz und im Falle des Satzes 1 Nummer 2 innerhalb von 18 Monaten nach Aufnahme der beruflichen Betätigung an dem Arbeitsplatz erfolgt sein. Der für den Arbeitsplatz Verantwortliche hat erneute Messungen der Radon-222-Aktivitätskonzentration in der Luft zu veranlassen, wenn Änderungen am Arbeitsplatz vorgenommen werden, die dazu führen können, dass die Radon-222-Aktivitätskonzentration in der Luft über dem Referenzwert nach § 126 liegt; Satz 2 gilt in diesem Fall entsprechend. Die zuständige Behörde kann anordnen, dass der für den Arbeitsplatz Verantwortliche auch für andere Arbeitsplätze in Innenräumen Messungen der Radon-222-Aktivitätskonzentration in der Luft zu veranlassen hat, wenn Anhaltspunkte dafür vorliegen, dass die Radon-222-Aktivitätskonzentration in der Luft über dem Referenzwert nach § 126 liegt. Die zuständige Behörde kann im Einzelfall die Frist nach Satz 2 um längstens sechs Monate verlängern, wenn die Frist auf Grund von Umständen, die von dem für den Arbeitsplatz Verantwortlichen nicht zu vertreten sind, nicht eingehalten werden kann.</w:t>
      </w:r>
    </w:p>
    <w:p>
      <w:r>
        <w:t xml:space="preserve">(2) Verantwortlich für einen Arbeitsplatz ist,</w:t>
      </w:r>
    </w:p>
    <w:p>
      <w:pPr>
        <w:ind w:left="420"/>
      </w:pPr>
      <w:r>
        <w:t xml:space="preserve">1. wer in seiner Betriebsstätte eine Betätigung beruflich ausübt oder ausüben lässt oder</w:t>
      </w:r>
    </w:p>
    <w:p>
      <w:pPr>
        <w:ind w:left="420"/>
      </w:pPr>
      <w:r>
        <w:t xml:space="preserve">2. in wessen Betriebsstätte ein Dritter in eigener Verantwortung eine Betätigung beruflich ausübt oder von Personen ausüben lässt, die unter dessen Aufsicht stehen.</w:t>
      </w:r>
    </w:p>
    <w:p>
      <w:r>
        <w:t xml:space="preserve">(3) Der für den Arbeitsplatz Verantwortliche hat die Ergebnisse der Messungen nach Absatz 1 Satz 1, 3 und 4 unverzüglich aufzuzeichnen. Er hat die Aufzeichnungen bis zur Beendigung der Betätigung oder bis zum Vorliegen neuer Messergebnisse aufzubewahren und der zuständigen Behörde auf Verlangen vorzulegen.</w:t>
      </w:r>
    </w:p>
    <w:p>
      <w:r>
        <w:t xml:space="preserve">(4) Im Falle der Verantwortlichkeit nach Absatz 2 Nummer 1 hat der für den Arbeitsplatz Verantwortliche die betroffenen Arbeitskräfte und den Betriebsrat oder den Personalrat unverzüglich über die Ergebnisse der Messungen zu unterrichten. Im Falle der Verantwortlichkeit nach Absatz 2 Nummer 2 hat der für den Arbeitsplatz Verantwortliche unverzüglich den Dritten zu unterrichten; die Pflicht nach Satz 1 gilt entsprechend für den Dritten.</w:t>
      </w:r>
    </w:p>
    <w:p>
      <w:r>
        <w:rPr>
          <w:color w:val="555555"/>
          <w:sz w:val="17"/>
        </w:rPr>
        <w:t xml:space="preserve">Zitiervorschlag: § 127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https://recht.nulegal.eu/gesetze/StrlSchG/127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