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StrlSchG — Unterrichtung der Bevölkerung; Reduzierung der Radonkonzentration</w:t>
      </w:r>
    </w:p>
    <w:p>
      <w:r>
        <w:rPr>
          <w:color w:val="555555"/>
          <w:sz w:val="18"/>
        </w:rPr>
        <w:t xml:space="preserve">Strahlenschutzgesetz</w:t>
      </w:r>
    </w:p>
    <w:p>
      <w:r>
        <w:rPr>
          <w:color w:val="555555"/>
          <w:sz w:val="18"/>
        </w:rPr>
        <w:t xml:space="preserve">Stand: 12.08.2020 (konsolidierte Textfassung, kein amtliches Inkrafttretensdatum)</w:t>
      </w:r>
    </w:p>
    <w:p>
      <w:r>
        <w:t xml:space="preserve">(1) Das Bundesministerium für Umwelt, Naturschutz und nukleare Sicherheit sowie die zuständigen Behörden der Länder unterrichten die Bevölkerung in geeigneter Weise über die Exposition durch Radon in Aufenthaltsräumen und die damit verbundenen Gesundheitsrisiken, über die Wichtigkeit von Radonmessungen und über die technischen Möglichkeiten, die zur Verringerung vorhandener Radon-222-Aktivitätskonzentrationen verfügbar sind.</w:t>
      </w:r>
    </w:p>
    <w:p>
      <w:r>
        <w:t xml:space="preserve">(2) Das Bundesministerium für Umwelt, Naturschutz und nukleare Sicherheit sowie die zuständigen Behörden der Länder regen Maßnahmen zur Ermittlung von Aufenthaltsräumen an, in denen die über das Jahr gemittelte Radon-222-Aktivitätskonzentration in der Luft den Referenzwert nach § 124 überschreitet, und empfehlen technische oder andere Mittel zur Verringerung der Exposition durch Radon.</w:t>
      </w:r>
    </w:p>
    <w:p>
      <w:r>
        <w:rPr>
          <w:color w:val="555555"/>
          <w:sz w:val="17"/>
        </w:rPr>
        <w:t xml:space="preserve">Zitiervorschlag: § 125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