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StrlSchG — Referenzwert; Verordnungsermächtigung</w:t>
      </w:r>
    </w:p>
    <w:p>
      <w:r>
        <w:rPr>
          <w:color w:val="555555"/>
          <w:sz w:val="18"/>
        </w:rPr>
        <w:t xml:space="preserve">Strahlenschutzgesetz</w:t>
      </w:r>
    </w:p>
    <w:p>
      <w:r>
        <w:rPr>
          <w:color w:val="555555"/>
          <w:sz w:val="18"/>
        </w:rPr>
        <w:t xml:space="preserve">Stand: 12.08.2020 (konsolidierte Textfassung, kein amtliches Inkrafttretensdatum)</w:t>
      </w:r>
    </w:p>
    <w:p>
      <w:r>
        <w:t xml:space="preserve">Der Referenzwert für die über das Jahr gemittelte Radon-222-Aktivitätskonzentration in der Luft in Aufenthaltsräumen beträgt 300 Becquerel je Kubikmeter. Spätestens zehn Jahre nach Inkrafttreten dieses Gesetzes legt das Bundesministerium für Umwelt, Naturschutz und nukleare Sicherheit einen Bericht über die Entwicklung der Schutzmaßnahmen für die Allgemeinbevölkerung gegenüber Radonexpositionen, über deren Wirksamkeit und Kosten auf Bundes- und Länderebene vor. Die Bundesregierung wird ermächtigt, durch Rechtsverordnung mit Zustimmung des Bundesrates festzulegen, wie die Messung der Radon-222-Aktivitätskonzentration in der Luft in Aufenthaltsräumen zu erfolgen hat.</w:t>
      </w:r>
    </w:p>
    <w:p>
      <w:r>
        <w:rPr>
          <w:color w:val="555555"/>
          <w:sz w:val="17"/>
        </w:rPr>
        <w:t xml:space="preserve">Zitiervorschlag: § 124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