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122 StrlSchG — Radonmaßnahmenplan</w:t>
      </w:r>
    </w:p>
    <w:p>
      <w:r>
        <w:rPr>
          <w:color w:val="555555"/>
          <w:sz w:val="18"/>
        </w:rPr>
        <w:t xml:space="preserve">Strahlenschutzgesetz</w:t>
      </w:r>
    </w:p>
    <w:p>
      <w:r>
        <w:rPr>
          <w:color w:val="555555"/>
          <w:sz w:val="18"/>
        </w:rPr>
        <w:t xml:space="preserve">Stand: 12.08.2020 (konsolidierte Textfassung, kein amtliches Inkrafttretensdatum)</w:t>
      </w:r>
    </w:p>
    <w:p>
      <w:r>
        <w:t xml:space="preserve">(1) Das Bundesministerium für Umwelt, Naturschutz und nukleare Sicherheit erstellt einen Radonmaßnahmenplan. Der Radonmaßnahmenplan wird unter Beteiligung der Länder erstellt. Er erläutert die Maßnahmen nach diesem Gesetz und enthält Ziele für die Bewältigung der langfristigen Risiken der Exposition durch Radon in Aufenthaltsräumen und an Arbeitsplätzen in Innenräumen hinsichtlich sämtlicher Quellen, aus denen Radon zutritt, sei es aus dem Boden, aus Bauprodukten oder aus dem Wasser.</w:t>
      </w:r>
    </w:p>
    <w:p>
      <w:r>
        <w:t xml:space="preserve">(2) Das Bundesministerium für Umwelt, Naturschutz und nukleare Sicherheit macht den Radonmaßnahmenplan im Bundesanzeiger bekannt.</w:t>
      </w:r>
    </w:p>
    <w:p>
      <w:r>
        <w:t xml:space="preserve">(3) Der Radonmaßnahmenplan wird vom Bundesministerium für Umwelt, Naturschutz und nukleare Sicherheit unter Beteiligung der Länder regelmäßig aktualisiert, jedoch mindestens alle zehn Jahre.</w:t>
      </w:r>
    </w:p>
    <w:p>
      <w:r>
        <w:t xml:space="preserve">(4) Die zuständige Behörde entwickelt für ihren Zuständigkeitsbereich an die jeweiligen Bedingungen angepasste Strategien zum Umgang mit langfristigen Risiken der Exposition durch Radon. Sie berücksichtigt dabei den Radonmaßnahmenplan. Sie erhebt die erforderlichen Daten. Das Bundesministerium für Umwelt, Naturschutz und nukleare Sicherheit koordiniert die Entwicklung der Strategien.</w:t>
      </w:r>
    </w:p>
    <w:p>
      <w:r>
        <w:rPr>
          <w:color w:val="555555"/>
          <w:sz w:val="17"/>
        </w:rPr>
        <w:t xml:space="preserve">Zitiervorschlag: § 122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