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StrlSchG — Festlegung von Gebieten;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legt durch Allgemeinverfügung innerhalb von zwei Jahren nach Inkrafttreten einer Rechtsverordnung nach Absatz 2 die Gebiete fest, für die erwartet wird, dass die über das Jahr gemittelte Radon-222-Aktivitätskonzentration in der Luft in einer beträchtlichen Zahl von Gebäuden mit Aufenthaltsräumen oder Arbeitsplätzen den Referenzwert nach § 124 oder § 126 überschreitet. Sie veröffentlicht die Festlegung der Gebiete. Die Festlegung der Gebiete ist mindestens alle zehn Jahre zu überprüfen.</w:t>
      </w:r>
    </w:p>
    <w:p>
      <w:r>
        <w:t xml:space="preserve">(2) Die Bundesregierung wird ermächtigt, durch Rechtsverordnung mit Zustimmung des Bundesrates zu bestimmen, unter welchen Umständen die zuständige Behörde davon ausgehen kann, dass in einem Gebiet in einer beträchtlichen Zahl von Gebäuden mit Aufenthaltsräumen oder Arbeitsplätzen die Referenzwerte nach den §§ 124 und 126 überschritten werden und welche Verfahren und Kriterien für die Festlegung der Gebiete heranzuziehen sind.</w:t>
      </w:r>
    </w:p>
    <w:p>
      <w:r>
        <w:rPr>
          <w:color w:val="555555"/>
          <w:sz w:val="17"/>
        </w:rPr>
        <w:t xml:space="preserve">Zitiervorschlag: § 121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